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129" w:rsidRPr="00A40129" w:rsidRDefault="00A40129" w:rsidP="00113832">
      <w:pPr>
        <w:pStyle w:val="Cmsor1"/>
        <w:spacing w:before="720"/>
        <w:ind w:left="2551"/>
      </w:pPr>
      <w:r w:rsidRPr="00A40129">
        <w:t>Tájékoztató</w:t>
      </w:r>
    </w:p>
    <w:p w:rsidR="00864E5A" w:rsidRPr="00864E5A" w:rsidRDefault="00864E5A" w:rsidP="00864E5A">
      <w:pPr>
        <w:pStyle w:val="Cmsor1"/>
        <w:rPr>
          <w:sz w:val="32"/>
          <w:lang w:eastAsia="hu-HU"/>
        </w:rPr>
      </w:pPr>
      <w:r w:rsidRPr="00864E5A">
        <w:rPr>
          <w:sz w:val="32"/>
          <w:lang w:eastAsia="hu-HU"/>
        </w:rPr>
        <w:t>Alkalmazható-e az ADR 1.1.3.1 c) pontjában leírt mentesség egy állattartással foglalkozó vállalkozás esetében, ha az állattartó telepeken belül működtetett, állatok belső mozgatását biztosító traktorokhoz szállítanak közúton gázolajat, zárt platójú kis furgonban, és a gázolaj nem egy központi telepről kerül szétosztásra, hanem a telepekhez legközelebb lévő benzinkútról történik a beszerzésük?</w:t>
      </w:r>
    </w:p>
    <w:p w:rsidR="00864E5A" w:rsidRPr="00A40129" w:rsidRDefault="00983F45" w:rsidP="00864E5A">
      <w:pPr>
        <w:spacing w:before="9000" w:after="0"/>
        <w:jc w:val="center"/>
        <w:rPr>
          <w:rFonts w:ascii="Times New Roman" w:eastAsia="Times New Roman" w:hAnsi="Times New Roman"/>
          <w:b/>
          <w:color w:val="000000"/>
          <w:sz w:val="24"/>
          <w:lang w:eastAsia="hu-HU"/>
        </w:rPr>
      </w:pPr>
      <w:r w:rsidRPr="00A40129">
        <w:rPr>
          <w:noProof/>
          <w:lang w:eastAsia="hu-H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1775460</wp:posOffset>
            </wp:positionV>
            <wp:extent cx="1516380" cy="1699260"/>
            <wp:effectExtent l="0" t="0" r="7620" b="0"/>
            <wp:wrapNone/>
            <wp:docPr id="2" name="Picture 7" descr="Leírás: katasztrofavedelem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írás: katasztrofavedelem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E5A" w:rsidRPr="00864E5A">
        <w:rPr>
          <w:rFonts w:ascii="Times New Roman" w:eastAsia="Times New Roman" w:hAnsi="Times New Roman"/>
          <w:b/>
          <w:color w:val="000000"/>
          <w:sz w:val="24"/>
          <w:lang w:eastAsia="hu-HU"/>
        </w:rPr>
        <w:t xml:space="preserve"> </w:t>
      </w:r>
      <w:r w:rsidR="00864E5A" w:rsidRPr="00A40129">
        <w:rPr>
          <w:rFonts w:ascii="Times New Roman" w:eastAsia="Times New Roman" w:hAnsi="Times New Roman"/>
          <w:b/>
          <w:color w:val="000000"/>
          <w:sz w:val="24"/>
          <w:lang w:eastAsia="hu-HU"/>
        </w:rPr>
        <w:t xml:space="preserve">Belügyminisztérium </w:t>
      </w:r>
    </w:p>
    <w:p w:rsidR="00864E5A" w:rsidRPr="00A40129" w:rsidRDefault="00864E5A" w:rsidP="00864E5A">
      <w:pPr>
        <w:spacing w:after="0" w:line="238" w:lineRule="auto"/>
        <w:ind w:left="1792" w:right="1729"/>
        <w:jc w:val="center"/>
        <w:rPr>
          <w:rFonts w:ascii="Times New Roman" w:eastAsia="Times New Roman" w:hAnsi="Times New Roman"/>
          <w:b/>
          <w:color w:val="000000"/>
          <w:sz w:val="24"/>
          <w:lang w:eastAsia="hu-HU"/>
        </w:rPr>
      </w:pPr>
      <w:r w:rsidRPr="00A40129">
        <w:rPr>
          <w:rFonts w:ascii="Times New Roman" w:eastAsia="Times New Roman" w:hAnsi="Times New Roman"/>
          <w:b/>
          <w:color w:val="000000"/>
          <w:sz w:val="24"/>
          <w:lang w:eastAsia="hu-HU"/>
        </w:rPr>
        <w:t>Országos Katasztrófavédelmi Főigazgatóság</w:t>
      </w:r>
    </w:p>
    <w:p w:rsidR="00626A5B" w:rsidRDefault="00626A5B" w:rsidP="00626A5B">
      <w:pPr>
        <w:spacing w:after="0" w:line="237" w:lineRule="auto"/>
        <w:ind w:left="1792" w:right="1729"/>
        <w:jc w:val="center"/>
        <w:rPr>
          <w:rFonts w:ascii="Times New Roman" w:eastAsia="Times New Roman" w:hAnsi="Times New Roman"/>
          <w:color w:val="000000"/>
          <w:sz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hu-HU"/>
        </w:rPr>
        <w:t xml:space="preserve">Budapest, </w:t>
      </w:r>
      <w:r w:rsidR="005B5EA3">
        <w:rPr>
          <w:rFonts w:ascii="Times New Roman" w:eastAsia="Times New Roman" w:hAnsi="Times New Roman"/>
          <w:b/>
          <w:color w:val="000000"/>
          <w:sz w:val="24"/>
          <w:lang w:eastAsia="hu-HU"/>
        </w:rPr>
        <w:t>2025</w:t>
      </w:r>
      <w:r w:rsidR="000B7F04">
        <w:rPr>
          <w:rFonts w:ascii="Times New Roman" w:eastAsia="Times New Roman" w:hAnsi="Times New Roman"/>
          <w:b/>
          <w:color w:val="000000"/>
          <w:sz w:val="24"/>
          <w:lang w:eastAsia="hu-HU"/>
        </w:rPr>
        <w:t xml:space="preserve">. </w:t>
      </w:r>
      <w:r w:rsidR="005B5EA3">
        <w:rPr>
          <w:rFonts w:ascii="Times New Roman" w:eastAsia="Times New Roman" w:hAnsi="Times New Roman"/>
          <w:b/>
          <w:color w:val="000000"/>
          <w:sz w:val="24"/>
          <w:lang w:eastAsia="hu-HU"/>
        </w:rPr>
        <w:t>január</w:t>
      </w:r>
    </w:p>
    <w:p w:rsidR="00864E5A" w:rsidRPr="00864E5A" w:rsidRDefault="00864E5A" w:rsidP="00E64A1B">
      <w:pPr>
        <w:pStyle w:val="Cmsor2"/>
        <w:spacing w:line="360" w:lineRule="auto"/>
        <w:rPr>
          <w:rFonts w:eastAsia="Calibri"/>
          <w:lang w:eastAsia="hu-HU"/>
        </w:rPr>
      </w:pPr>
      <w:r w:rsidRPr="00864E5A">
        <w:rPr>
          <w:color w:val="000000"/>
          <w:lang w:eastAsia="hu-HU"/>
        </w:rPr>
        <w:lastRenderedPageBreak/>
        <w:t xml:space="preserve"> </w:t>
      </w:r>
      <w:r w:rsidRPr="00864E5A">
        <w:rPr>
          <w:rFonts w:eastAsia="Calibri"/>
          <w:lang w:eastAsia="hu-HU"/>
        </w:rPr>
        <w:t>A mentesség alkalmazásának feltételei:</w:t>
      </w:r>
    </w:p>
    <w:p w:rsidR="00864E5A" w:rsidRPr="00864E5A" w:rsidRDefault="00864E5A" w:rsidP="00E64A1B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0B7F04">
        <w:rPr>
          <w:rFonts w:ascii="Times New Roman" w:hAnsi="Times New Roman"/>
          <w:i/>
          <w:sz w:val="24"/>
          <w:szCs w:val="24"/>
        </w:rPr>
        <w:t>A Veszélyes Áruk Nemzetközi Közúti Szállításáról szóló Megállapodás „A” és „B” Melléklete kihirdetéséről, valamint a belföldi alkalmazásának egyes kérdéseiről szóló Korm. rendeletben</w:t>
      </w:r>
      <w:r w:rsidRPr="00864E5A">
        <w:rPr>
          <w:rFonts w:ascii="Times New Roman" w:hAnsi="Times New Roman"/>
          <w:sz w:val="24"/>
          <w:szCs w:val="24"/>
        </w:rPr>
        <w:t xml:space="preserve"> </w:t>
      </w:r>
      <w:r w:rsidRPr="00864E5A">
        <w:rPr>
          <w:rFonts w:ascii="Times New Roman" w:eastAsia="Times New Roman" w:hAnsi="Times New Roman"/>
          <w:sz w:val="24"/>
          <w:szCs w:val="24"/>
          <w:lang w:eastAsia="hu-HU"/>
        </w:rPr>
        <w:t>(a továbbia</w:t>
      </w:r>
      <w:r w:rsidR="000B7F04">
        <w:rPr>
          <w:rFonts w:ascii="Times New Roman" w:eastAsia="Times New Roman" w:hAnsi="Times New Roman"/>
          <w:sz w:val="24"/>
          <w:szCs w:val="24"/>
          <w:lang w:eastAsia="hu-HU"/>
        </w:rPr>
        <w:t xml:space="preserve">kban: ADR) 2. melléklet 1.1.3.1 </w:t>
      </w:r>
      <w:r w:rsidRPr="00864E5A">
        <w:rPr>
          <w:rFonts w:ascii="Times New Roman" w:eastAsia="Times New Roman" w:hAnsi="Times New Roman"/>
          <w:sz w:val="24"/>
          <w:szCs w:val="24"/>
          <w:lang w:eastAsia="hu-HU"/>
        </w:rPr>
        <w:t>c) pontja értelmében az ADR előírásait nem kell alkalmazni „a vállalatok (vállalkozások) olyan szállításaira, ami fő tevékenységüket kiegészíti, mint például a mély- és magasépítési munkaterületek ellátása, vagy méréssel, javítással és karbantartással kapcsolatos szállítások, ill. visszaszállítások csomagolóeszközönként legfeljebb 450 liter mennyiségű veszélyes áru esetén</w:t>
      </w:r>
      <w:proofErr w:type="gramEnd"/>
      <w:r w:rsidRPr="00864E5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864E5A">
        <w:rPr>
          <w:rFonts w:ascii="Times New Roman" w:eastAsia="Times New Roman" w:hAnsi="Times New Roman"/>
          <w:sz w:val="24"/>
          <w:szCs w:val="24"/>
          <w:lang w:eastAsia="hu-HU"/>
        </w:rPr>
        <w:t>és</w:t>
      </w:r>
      <w:proofErr w:type="gramEnd"/>
      <w:r w:rsidRPr="00864E5A">
        <w:rPr>
          <w:rFonts w:ascii="Times New Roman" w:eastAsia="Times New Roman" w:hAnsi="Times New Roman"/>
          <w:sz w:val="24"/>
          <w:szCs w:val="24"/>
          <w:lang w:eastAsia="hu-HU"/>
        </w:rPr>
        <w:t xml:space="preserve"> az 1.1.3.6 bekezdésben meg</w:t>
      </w:r>
      <w:bookmarkStart w:id="0" w:name="_GoBack"/>
      <w:bookmarkEnd w:id="0"/>
      <w:r w:rsidRPr="00864E5A">
        <w:rPr>
          <w:rFonts w:ascii="Times New Roman" w:eastAsia="Times New Roman" w:hAnsi="Times New Roman"/>
          <w:sz w:val="24"/>
          <w:szCs w:val="24"/>
          <w:lang w:eastAsia="hu-HU"/>
        </w:rPr>
        <w:t>határozott mennyiségi határokon belül. Meg kell tenni a szükséges intézkedéseket a veszélyes áru normális szállítási feltételek melletti kiszabadulásának megakadályozására. Ez a fajta mentesség nem alkalmazható a 7 osztályra. Ugyancsak nem alkalmazható ez a mentesség a vállalatok (vállalkozások) által anyagbeszerzés, külső vagy belső anyagelosztás céljából végzett szállításokra.”</w:t>
      </w:r>
    </w:p>
    <w:p w:rsidR="00864E5A" w:rsidRPr="00864E5A" w:rsidRDefault="00864E5A" w:rsidP="00E64A1B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864E5A">
        <w:rPr>
          <w:rFonts w:ascii="Times New Roman" w:eastAsia="Times New Roman" w:hAnsi="Times New Roman"/>
          <w:sz w:val="24"/>
          <w:szCs w:val="24"/>
          <w:lang w:eastAsia="hu-HU"/>
        </w:rPr>
        <w:t xml:space="preserve"> Az állattartó telepekre külső benzinkútról, saját gépjárművel beszállított, legfeljebb 450 liter mennyiségű, a telephelyen belül működtetett berendezések, munkagépek, járművek (pl. traktorok) üzemanyag ellátását biztosító veszélyes áru (gázolaj) szállítás </w:t>
      </w:r>
      <w:r w:rsidR="000B7F04">
        <w:rPr>
          <w:rFonts w:ascii="Times New Roman" w:eastAsia="Times New Roman" w:hAnsi="Times New Roman"/>
          <w:sz w:val="24"/>
          <w:szCs w:val="24"/>
          <w:lang w:eastAsia="hu-HU"/>
        </w:rPr>
        <w:t>a fenti hivatkozás (ADR 1.1.3.1</w:t>
      </w:r>
      <w:r w:rsidRPr="00864E5A">
        <w:rPr>
          <w:rFonts w:ascii="Times New Roman" w:eastAsia="Times New Roman" w:hAnsi="Times New Roman"/>
          <w:sz w:val="24"/>
          <w:szCs w:val="24"/>
          <w:lang w:eastAsia="hu-HU"/>
        </w:rPr>
        <w:t xml:space="preserve"> c) pont) első mondatának kritériumait kielégíti. Ugyanakkor e tevékenység álláspontunk szerint anyagbeszerzésnek minősül, ezért a hivatkozás negyedik mondatában található, e mentesség alkalmazását kizáró feltételnek is megfelel, így a fentebb leí</w:t>
      </w:r>
      <w:r w:rsidR="000B7F04">
        <w:rPr>
          <w:rFonts w:ascii="Times New Roman" w:eastAsia="Times New Roman" w:hAnsi="Times New Roman"/>
          <w:sz w:val="24"/>
          <w:szCs w:val="24"/>
          <w:lang w:eastAsia="hu-HU"/>
        </w:rPr>
        <w:t xml:space="preserve">rt szállításokra az ADR 1.1.3.1 </w:t>
      </w:r>
      <w:r w:rsidRPr="00864E5A">
        <w:rPr>
          <w:rFonts w:ascii="Times New Roman" w:eastAsia="Times New Roman" w:hAnsi="Times New Roman"/>
          <w:sz w:val="24"/>
          <w:szCs w:val="24"/>
          <w:lang w:eastAsia="hu-HU"/>
        </w:rPr>
        <w:t>c) pontjában leírt mentesség nem alkalmazható.</w:t>
      </w:r>
    </w:p>
    <w:p w:rsidR="00864E5A" w:rsidRPr="00864E5A" w:rsidRDefault="00864E5A" w:rsidP="00E64A1B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</w:pPr>
      <w:r w:rsidRPr="00864E5A">
        <w:rPr>
          <w:rFonts w:ascii="Times New Roman" w:eastAsia="Times New Roman" w:hAnsi="Times New Roman"/>
          <w:sz w:val="24"/>
          <w:szCs w:val="24"/>
          <w:lang w:eastAsia="hu-HU"/>
        </w:rPr>
        <w:t> </w:t>
      </w:r>
      <w:r w:rsidRPr="00864E5A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E szállítások tekintetében – figyelemmel a felhasználási módra, a szállított, felhasznált mennyiségre – az ADR 1.1.3.6 bekezdésében foglalt mentesség igénybevétele javasolt, mely ugyan nem biztosít teljes mentességet az ADR előírásai alól, azonban jelentős könnyítéseket tartalmaz. A szállítások kapcsán ez esetben nem szükséges többek között a gépjárművezető ADR 8.2.1 szakasza szerinti oktatása, a jármű jelölése, írásbeli utasítás, illetve az ADR 8.1.5 fejezete szerinti felszerelések készenlétben tartása. Gondot kell ugyanakkor fordítani egyebek mellett a fuvarokmányra (ADR 5.4.1), a minősített csomagolóeszköz használatára (ADR 4.1), </w:t>
      </w:r>
      <w:proofErr w:type="gramStart"/>
      <w:r w:rsidRPr="00864E5A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>a</w:t>
      </w:r>
      <w:proofErr w:type="gramEnd"/>
      <w:r w:rsidRPr="00864E5A">
        <w:rPr>
          <w:rFonts w:ascii="Times New Roman" w:eastAsia="Times New Roman" w:hAnsi="Times New Roman"/>
          <w:sz w:val="24"/>
          <w:szCs w:val="24"/>
          <w:shd w:val="clear" w:color="auto" w:fill="FFFFFF"/>
          <w:lang w:eastAsia="hu-HU"/>
        </w:rPr>
        <w:t xml:space="preserve"> küldeménydarabok jelölésére, bárcázására (ADR 5.2), a rakomány elhelyezésére, rögzítésére (ADR 7.5), az ADR 8.1.4.2 – 8.1.4.5 bekezdéseiben előírt legalább 2 kg-os tűzoltó készülék gépjárművön történő elhelyezésére és üzemben tartására, a gépjárművezető és a szállításban érintett személyek ADR 1.3 fejezete és 8.2.3 szakasza szerinti oktatására.</w:t>
      </w:r>
    </w:p>
    <w:p w:rsidR="003D4723" w:rsidRDefault="003D4723" w:rsidP="003D4723">
      <w:pPr>
        <w:pStyle w:val="Cmsor2"/>
        <w:spacing w:line="360" w:lineRule="auto"/>
        <w:jc w:val="center"/>
        <w:rPr>
          <w:rFonts w:eastAsia="Calibri"/>
          <w:lang w:eastAsia="hu-HU"/>
        </w:rPr>
      </w:pPr>
    </w:p>
    <w:p w:rsidR="00864E5A" w:rsidRPr="00864E5A" w:rsidRDefault="00E64A1B" w:rsidP="00E64A1B">
      <w:pPr>
        <w:pStyle w:val="Cmsor2"/>
        <w:spacing w:line="360" w:lineRule="auto"/>
        <w:rPr>
          <w:lang w:eastAsia="hu-HU"/>
        </w:rPr>
      </w:pPr>
      <w:r w:rsidRPr="003D4723">
        <w:rPr>
          <w:rFonts w:eastAsia="Calibri"/>
          <w:lang w:eastAsia="hu-HU"/>
        </w:rPr>
        <w:br w:type="page"/>
      </w:r>
      <w:r w:rsidR="00864E5A" w:rsidRPr="00864E5A">
        <w:rPr>
          <w:rFonts w:eastAsia="Calibri"/>
          <w:lang w:eastAsia="hu-HU"/>
        </w:rPr>
        <w:lastRenderedPageBreak/>
        <w:t>Záradék</w:t>
      </w:r>
    </w:p>
    <w:p w:rsidR="00864E5A" w:rsidRPr="00864E5A" w:rsidRDefault="00864E5A" w:rsidP="00E64A1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864E5A">
        <w:rPr>
          <w:rFonts w:ascii="Times New Roman" w:eastAsia="Times New Roman" w:hAnsi="Times New Roman"/>
          <w:sz w:val="24"/>
          <w:szCs w:val="24"/>
          <w:lang w:eastAsia="hu-HU"/>
        </w:rPr>
        <w:t>A tájékoztatóban foglaltak – a 60/1992. (XI. 17.) AB határozat értelmében – nem tekinthetők jogi iránymutatásnak, állásfoglalásnak, így kötelező erővel nem bírnak. Az Alkotmánybíróság határozata szerint „a központi állami szervektől származó jogi iránymutatást tartalmazó állásfoglalásokhoz joghatás nem fűződik, azoknak kötelező ereje nincs. A különböző jogi iránymutatást tartalmazó leiratok, iránymutatások, állásfoglalások és egyéb informális jogértelmezések kiadása, és az ezekkel való irányítás gyakorlata alkotmányellenes”.</w:t>
      </w:r>
    </w:p>
    <w:p w:rsidR="00864E5A" w:rsidRPr="00864E5A" w:rsidRDefault="00864E5A" w:rsidP="000B7F04">
      <w:pPr>
        <w:autoSpaceDE w:val="0"/>
        <w:autoSpaceDN w:val="0"/>
        <w:adjustRightInd w:val="0"/>
        <w:spacing w:before="120"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864E5A">
        <w:rPr>
          <w:rFonts w:ascii="Times New Roman" w:eastAsia="Times New Roman" w:hAnsi="Times New Roman"/>
          <w:sz w:val="24"/>
          <w:szCs w:val="24"/>
          <w:lang w:eastAsia="hu-HU"/>
        </w:rPr>
        <w:t>A tájékoztatót a BM OKF Hatósági Főigazgató-helyettesi Szervezete a jogszabályban foglalt követelmények teljesítésének elősegítése érdekében adta ki, melyeket minden esetben az egyedi ügyre vonatkozóan kell megfelelően alkalmazni.</w:t>
      </w:r>
    </w:p>
    <w:sectPr w:rsidR="00864E5A" w:rsidRPr="00864E5A" w:rsidSect="000E2431">
      <w:headerReference w:type="default" r:id="rId8"/>
      <w:footerReference w:type="default" r:id="rId9"/>
      <w:headerReference w:type="first" r:id="rId10"/>
      <w:pgSz w:w="11906" w:h="16838"/>
      <w:pgMar w:top="1276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80F" w:rsidRDefault="0084380F" w:rsidP="003F629D">
      <w:pPr>
        <w:spacing w:after="0" w:line="240" w:lineRule="auto"/>
      </w:pPr>
      <w:r>
        <w:separator/>
      </w:r>
    </w:p>
  </w:endnote>
  <w:endnote w:type="continuationSeparator" w:id="0">
    <w:p w:rsidR="0084380F" w:rsidRDefault="0084380F" w:rsidP="003F6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050798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3D4723" w:rsidRPr="003D4723" w:rsidRDefault="003D4723" w:rsidP="003D4723">
        <w:pPr>
          <w:pStyle w:val="llb"/>
          <w:jc w:val="center"/>
          <w:rPr>
            <w:rFonts w:ascii="Times New Roman" w:hAnsi="Times New Roman"/>
            <w:sz w:val="24"/>
          </w:rPr>
        </w:pPr>
        <w:r w:rsidRPr="003D4723">
          <w:rPr>
            <w:rFonts w:ascii="Times New Roman" w:hAnsi="Times New Roman"/>
            <w:sz w:val="24"/>
          </w:rPr>
          <w:fldChar w:fldCharType="begin"/>
        </w:r>
        <w:r w:rsidRPr="003D4723">
          <w:rPr>
            <w:rFonts w:ascii="Times New Roman" w:hAnsi="Times New Roman"/>
            <w:sz w:val="24"/>
          </w:rPr>
          <w:instrText>PAGE   \* MERGEFORMAT</w:instrText>
        </w:r>
        <w:r w:rsidRPr="003D4723">
          <w:rPr>
            <w:rFonts w:ascii="Times New Roman" w:hAnsi="Times New Roman"/>
            <w:sz w:val="24"/>
          </w:rPr>
          <w:fldChar w:fldCharType="separate"/>
        </w:r>
        <w:r w:rsidR="00D163B2">
          <w:rPr>
            <w:rFonts w:ascii="Times New Roman" w:hAnsi="Times New Roman"/>
            <w:noProof/>
            <w:sz w:val="24"/>
          </w:rPr>
          <w:t>2</w:t>
        </w:r>
        <w:r w:rsidRPr="003D4723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80F" w:rsidRDefault="0084380F" w:rsidP="003F629D">
      <w:pPr>
        <w:spacing w:after="0" w:line="240" w:lineRule="auto"/>
      </w:pPr>
      <w:r>
        <w:separator/>
      </w:r>
    </w:p>
  </w:footnote>
  <w:footnote w:type="continuationSeparator" w:id="0">
    <w:p w:rsidR="0084380F" w:rsidRDefault="0084380F" w:rsidP="003F6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723" w:rsidRPr="003D4723" w:rsidRDefault="00D163B2" w:rsidP="003D4723">
    <w:pPr>
      <w:pStyle w:val="lfej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9</w:t>
    </w:r>
    <w:r w:rsidR="003D4723" w:rsidRPr="003D4723">
      <w:rPr>
        <w:rFonts w:ascii="Times New Roman" w:hAnsi="Times New Roman"/>
        <w:sz w:val="24"/>
        <w:szCs w:val="24"/>
      </w:rPr>
      <w:t>. melléklet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723" w:rsidRPr="003D4723" w:rsidRDefault="00D163B2" w:rsidP="003D4723">
    <w:pPr>
      <w:pStyle w:val="lfej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9</w:t>
    </w:r>
    <w:r w:rsidR="003D4723" w:rsidRPr="003D4723">
      <w:rPr>
        <w:rFonts w:ascii="Times New Roman" w:hAnsi="Times New Roman"/>
        <w:sz w:val="24"/>
      </w:rPr>
      <w:t>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725"/>
    <w:multiLevelType w:val="hybridMultilevel"/>
    <w:tmpl w:val="2F94AE5C"/>
    <w:lvl w:ilvl="0" w:tplc="2EEA33D0">
      <w:start w:val="1"/>
      <w:numFmt w:val="decimal"/>
      <w:lvlText w:val="%1.)"/>
      <w:lvlJc w:val="left"/>
      <w:pPr>
        <w:ind w:left="405" w:hanging="4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F1194"/>
    <w:multiLevelType w:val="hybridMultilevel"/>
    <w:tmpl w:val="1808634E"/>
    <w:lvl w:ilvl="0" w:tplc="286299F0">
      <w:start w:val="2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0983"/>
    <w:multiLevelType w:val="hybridMultilevel"/>
    <w:tmpl w:val="3DAAF6BC"/>
    <w:lvl w:ilvl="0" w:tplc="939407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E7FF9"/>
    <w:multiLevelType w:val="hybridMultilevel"/>
    <w:tmpl w:val="68201E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75B84"/>
    <w:multiLevelType w:val="hybridMultilevel"/>
    <w:tmpl w:val="371471AC"/>
    <w:lvl w:ilvl="0" w:tplc="7EC27EA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72A63"/>
    <w:multiLevelType w:val="hybridMultilevel"/>
    <w:tmpl w:val="05D88A32"/>
    <w:lvl w:ilvl="0" w:tplc="44BC71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027CD"/>
    <w:multiLevelType w:val="hybridMultilevel"/>
    <w:tmpl w:val="165899B8"/>
    <w:lvl w:ilvl="0" w:tplc="064A855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84C2E"/>
    <w:multiLevelType w:val="hybridMultilevel"/>
    <w:tmpl w:val="165899B8"/>
    <w:lvl w:ilvl="0" w:tplc="064A855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F355B"/>
    <w:multiLevelType w:val="hybridMultilevel"/>
    <w:tmpl w:val="258278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033C3"/>
    <w:multiLevelType w:val="hybridMultilevel"/>
    <w:tmpl w:val="883CF4D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77E71"/>
    <w:multiLevelType w:val="hybridMultilevel"/>
    <w:tmpl w:val="7344762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B1EF0"/>
    <w:multiLevelType w:val="multilevel"/>
    <w:tmpl w:val="8E24A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96F468F"/>
    <w:multiLevelType w:val="hybridMultilevel"/>
    <w:tmpl w:val="9E324A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36106"/>
    <w:multiLevelType w:val="hybridMultilevel"/>
    <w:tmpl w:val="006449A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52952"/>
    <w:multiLevelType w:val="multilevel"/>
    <w:tmpl w:val="B2006142"/>
    <w:lvl w:ilvl="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7241268"/>
    <w:multiLevelType w:val="hybridMultilevel"/>
    <w:tmpl w:val="688429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E4B1E"/>
    <w:multiLevelType w:val="hybridMultilevel"/>
    <w:tmpl w:val="06D680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870B3"/>
    <w:multiLevelType w:val="hybridMultilevel"/>
    <w:tmpl w:val="EC7ACC42"/>
    <w:lvl w:ilvl="0" w:tplc="79B6B91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2"/>
  </w:num>
  <w:num w:numId="5">
    <w:abstractNumId w:val="0"/>
  </w:num>
  <w:num w:numId="6">
    <w:abstractNumId w:val="13"/>
  </w:num>
  <w:num w:numId="7">
    <w:abstractNumId w:val="15"/>
  </w:num>
  <w:num w:numId="8">
    <w:abstractNumId w:val="8"/>
  </w:num>
  <w:num w:numId="9">
    <w:abstractNumId w:val="4"/>
  </w:num>
  <w:num w:numId="10">
    <w:abstractNumId w:val="12"/>
  </w:num>
  <w:num w:numId="11">
    <w:abstractNumId w:val="3"/>
  </w:num>
  <w:num w:numId="12">
    <w:abstractNumId w:val="5"/>
  </w:num>
  <w:num w:numId="13">
    <w:abstractNumId w:val="6"/>
  </w:num>
  <w:num w:numId="14">
    <w:abstractNumId w:val="7"/>
  </w:num>
  <w:num w:numId="15">
    <w:abstractNumId w:val="10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5B"/>
    <w:rsid w:val="00034F86"/>
    <w:rsid w:val="00041719"/>
    <w:rsid w:val="00041C79"/>
    <w:rsid w:val="000511E2"/>
    <w:rsid w:val="00060DEC"/>
    <w:rsid w:val="00081A60"/>
    <w:rsid w:val="000875AC"/>
    <w:rsid w:val="00090DB9"/>
    <w:rsid w:val="000A10C8"/>
    <w:rsid w:val="000B4865"/>
    <w:rsid w:val="000B6B48"/>
    <w:rsid w:val="000B7F04"/>
    <w:rsid w:val="000C49E7"/>
    <w:rsid w:val="000E2431"/>
    <w:rsid w:val="000F5B08"/>
    <w:rsid w:val="001057D4"/>
    <w:rsid w:val="00113832"/>
    <w:rsid w:val="001816D9"/>
    <w:rsid w:val="001A499C"/>
    <w:rsid w:val="001B4A98"/>
    <w:rsid w:val="00223D9F"/>
    <w:rsid w:val="00225B91"/>
    <w:rsid w:val="002609A8"/>
    <w:rsid w:val="002A0688"/>
    <w:rsid w:val="002B2F8D"/>
    <w:rsid w:val="0034711B"/>
    <w:rsid w:val="00371C69"/>
    <w:rsid w:val="003B3E82"/>
    <w:rsid w:val="003D4723"/>
    <w:rsid w:val="003F629D"/>
    <w:rsid w:val="00406AF9"/>
    <w:rsid w:val="0040742E"/>
    <w:rsid w:val="00465F5D"/>
    <w:rsid w:val="004E627B"/>
    <w:rsid w:val="00513B4F"/>
    <w:rsid w:val="005267F5"/>
    <w:rsid w:val="00532203"/>
    <w:rsid w:val="00536574"/>
    <w:rsid w:val="005446C4"/>
    <w:rsid w:val="005B51A7"/>
    <w:rsid w:val="005B5EA3"/>
    <w:rsid w:val="005C2160"/>
    <w:rsid w:val="00606964"/>
    <w:rsid w:val="00626A5B"/>
    <w:rsid w:val="00641D3A"/>
    <w:rsid w:val="006D46F8"/>
    <w:rsid w:val="00703305"/>
    <w:rsid w:val="0073062C"/>
    <w:rsid w:val="00742C94"/>
    <w:rsid w:val="00750D83"/>
    <w:rsid w:val="007528B4"/>
    <w:rsid w:val="007540BA"/>
    <w:rsid w:val="00762EB6"/>
    <w:rsid w:val="0079579C"/>
    <w:rsid w:val="007F7CA8"/>
    <w:rsid w:val="00801340"/>
    <w:rsid w:val="00821BC3"/>
    <w:rsid w:val="0084380F"/>
    <w:rsid w:val="0086064E"/>
    <w:rsid w:val="00864E5A"/>
    <w:rsid w:val="00866F93"/>
    <w:rsid w:val="008A1495"/>
    <w:rsid w:val="008D1B06"/>
    <w:rsid w:val="008D61F2"/>
    <w:rsid w:val="009238D7"/>
    <w:rsid w:val="00980720"/>
    <w:rsid w:val="00983F45"/>
    <w:rsid w:val="00983FA0"/>
    <w:rsid w:val="009B3997"/>
    <w:rsid w:val="009D34AD"/>
    <w:rsid w:val="009F54BF"/>
    <w:rsid w:val="00A039C3"/>
    <w:rsid w:val="00A40129"/>
    <w:rsid w:val="00A561F2"/>
    <w:rsid w:val="00A671CE"/>
    <w:rsid w:val="00A879DD"/>
    <w:rsid w:val="00AA1B16"/>
    <w:rsid w:val="00AB2790"/>
    <w:rsid w:val="00AF3F16"/>
    <w:rsid w:val="00B059F0"/>
    <w:rsid w:val="00B456AE"/>
    <w:rsid w:val="00B62D5B"/>
    <w:rsid w:val="00B7525E"/>
    <w:rsid w:val="00B76E26"/>
    <w:rsid w:val="00BA16A3"/>
    <w:rsid w:val="00BB2391"/>
    <w:rsid w:val="00BE601E"/>
    <w:rsid w:val="00C11F3A"/>
    <w:rsid w:val="00C21D80"/>
    <w:rsid w:val="00C3425D"/>
    <w:rsid w:val="00C444CB"/>
    <w:rsid w:val="00C6724E"/>
    <w:rsid w:val="00CE5A0F"/>
    <w:rsid w:val="00CE6C3C"/>
    <w:rsid w:val="00D163B2"/>
    <w:rsid w:val="00D71DCA"/>
    <w:rsid w:val="00DB1F7D"/>
    <w:rsid w:val="00E07080"/>
    <w:rsid w:val="00E17BCE"/>
    <w:rsid w:val="00E2017A"/>
    <w:rsid w:val="00E27490"/>
    <w:rsid w:val="00E64A1B"/>
    <w:rsid w:val="00E966C3"/>
    <w:rsid w:val="00EE1BB0"/>
    <w:rsid w:val="00EF024E"/>
    <w:rsid w:val="00F26B40"/>
    <w:rsid w:val="00F44763"/>
    <w:rsid w:val="00F75944"/>
    <w:rsid w:val="00FC206A"/>
    <w:rsid w:val="00FD74EA"/>
    <w:rsid w:val="00FE3C4D"/>
    <w:rsid w:val="00FE64EE"/>
    <w:rsid w:val="00F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7838C096-6135-4F22-99E5-315C11FB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0129"/>
    <w:pPr>
      <w:spacing w:after="160" w:line="259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A40129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5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40129"/>
    <w:pPr>
      <w:keepNext/>
      <w:spacing w:before="240" w:after="60"/>
      <w:outlineLvl w:val="1"/>
    </w:pPr>
    <w:rPr>
      <w:rFonts w:ascii="Times New Roman" w:eastAsia="Times New Roman" w:hAnsi="Times New Roman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40129"/>
    <w:pPr>
      <w:keepNext/>
      <w:spacing w:before="240" w:after="60"/>
      <w:ind w:left="708"/>
      <w:outlineLvl w:val="2"/>
    </w:pPr>
    <w:rPr>
      <w:rFonts w:ascii="Times New Roman" w:eastAsia="Times New Roman" w:hAnsi="Times New Roman"/>
      <w:b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60DE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0742E"/>
    <w:pPr>
      <w:spacing w:after="0" w:line="240" w:lineRule="auto"/>
      <w:ind w:left="720"/>
      <w:contextualSpacing/>
      <w:jc w:val="both"/>
    </w:pPr>
    <w:rPr>
      <w:rFonts w:ascii="Times New Roman" w:hAnsi="Times New Roman" w:cs="Calibri"/>
      <w:sz w:val="24"/>
    </w:rPr>
  </w:style>
  <w:style w:type="character" w:styleId="Hiperhivatkozs">
    <w:name w:val="Hyperlink"/>
    <w:uiPriority w:val="99"/>
    <w:rsid w:val="0040742E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6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E64EE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3F6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629D"/>
  </w:style>
  <w:style w:type="paragraph" w:styleId="llb">
    <w:name w:val="footer"/>
    <w:basedOn w:val="Norml"/>
    <w:link w:val="llbChar"/>
    <w:uiPriority w:val="99"/>
    <w:unhideWhenUsed/>
    <w:rsid w:val="003F6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629D"/>
  </w:style>
  <w:style w:type="paragraph" w:styleId="Nincstrkz">
    <w:name w:val="No Spacing"/>
    <w:link w:val="NincstrkzChar"/>
    <w:qFormat/>
    <w:rsid w:val="000E2431"/>
    <w:rPr>
      <w:rFonts w:eastAsia="Times New Roman"/>
      <w:sz w:val="22"/>
      <w:szCs w:val="22"/>
    </w:rPr>
  </w:style>
  <w:style w:type="character" w:customStyle="1" w:styleId="NincstrkzChar">
    <w:name w:val="Nincs térköz Char"/>
    <w:link w:val="Nincstrkz"/>
    <w:rsid w:val="000E2431"/>
    <w:rPr>
      <w:rFonts w:ascii="Calibri" w:eastAsia="Times New Roman" w:hAnsi="Calibri" w:cs="Times New Roman"/>
      <w:lang w:eastAsia="hu-HU"/>
    </w:rPr>
  </w:style>
  <w:style w:type="table" w:styleId="Rcsostblzat">
    <w:name w:val="Table Grid"/>
    <w:basedOn w:val="Normltblzat"/>
    <w:uiPriority w:val="39"/>
    <w:rsid w:val="002609A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uiPriority w:val="99"/>
    <w:semiHidden/>
    <w:unhideWhenUsed/>
    <w:rsid w:val="00371C69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A40129"/>
    <w:rPr>
      <w:rFonts w:ascii="Times New Roman" w:eastAsia="Times New Roman" w:hAnsi="Times New Roman" w:cs="Times New Roman"/>
      <w:b/>
      <w:bCs/>
      <w:kern w:val="32"/>
      <w:sz w:val="52"/>
      <w:szCs w:val="32"/>
      <w:lang w:eastAsia="en-US"/>
    </w:rPr>
  </w:style>
  <w:style w:type="character" w:customStyle="1" w:styleId="Cmsor2Char">
    <w:name w:val="Címsor 2 Char"/>
    <w:link w:val="Cmsor2"/>
    <w:uiPriority w:val="9"/>
    <w:rsid w:val="00A40129"/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character" w:customStyle="1" w:styleId="Cmsor3Char">
    <w:name w:val="Címsor 3 Char"/>
    <w:link w:val="Cmsor3"/>
    <w:uiPriority w:val="9"/>
    <w:rsid w:val="00A40129"/>
    <w:rPr>
      <w:rFonts w:ascii="Times New Roman" w:eastAsia="Times New Roman" w:hAnsi="Times New Roman" w:cs="Times New Roman"/>
      <w:b/>
      <w:bCs/>
      <w:sz w:val="24"/>
      <w:szCs w:val="26"/>
      <w:lang w:eastAsia="en-US"/>
    </w:rPr>
  </w:style>
  <w:style w:type="character" w:customStyle="1" w:styleId="Cmsor4Char">
    <w:name w:val="Címsor 4 Char"/>
    <w:link w:val="Cmsor4"/>
    <w:uiPriority w:val="9"/>
    <w:rsid w:val="00060DE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B3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496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Pintér Attila VSZFO</dc:creator>
  <cp:keywords/>
  <dc:description/>
  <cp:lastModifiedBy>Jakab Gábor József</cp:lastModifiedBy>
  <cp:revision>6</cp:revision>
  <cp:lastPrinted>2022-08-25T12:22:00Z</cp:lastPrinted>
  <dcterms:created xsi:type="dcterms:W3CDTF">2024-11-14T10:29:00Z</dcterms:created>
  <dcterms:modified xsi:type="dcterms:W3CDTF">2025-02-04T14:01:00Z</dcterms:modified>
</cp:coreProperties>
</file>