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129" w:rsidRDefault="00A40129" w:rsidP="00113832">
      <w:pPr>
        <w:pStyle w:val="Cmsor1"/>
        <w:spacing w:before="720"/>
        <w:ind w:left="2551"/>
      </w:pPr>
      <w:r w:rsidRPr="00A40129">
        <w:t>Tájékoztató</w:t>
      </w:r>
    </w:p>
    <w:p w:rsidR="00AF3F16" w:rsidRPr="00AF3F16" w:rsidRDefault="00AF3F16" w:rsidP="00AF3F16">
      <w:pPr>
        <w:spacing w:after="2880"/>
        <w:ind w:left="14"/>
        <w:jc w:val="both"/>
        <w:rPr>
          <w:rFonts w:ascii="Times New Roman" w:eastAsia="Times New Roman" w:hAnsi="Times New Roman"/>
          <w:b/>
          <w:bCs/>
          <w:color w:val="000000"/>
          <w:sz w:val="32"/>
          <w:szCs w:val="32"/>
          <w:lang w:eastAsia="hu-HU"/>
        </w:rPr>
      </w:pPr>
      <w:proofErr w:type="gramStart"/>
      <w:r w:rsidRPr="00AF3F16">
        <w:rPr>
          <w:rFonts w:ascii="Times New Roman" w:eastAsia="Times New Roman" w:hAnsi="Times New Roman"/>
          <w:b/>
          <w:bCs/>
          <w:color w:val="000000"/>
          <w:sz w:val="32"/>
          <w:szCs w:val="32"/>
          <w:lang w:eastAsia="hu-HU"/>
        </w:rPr>
        <w:t>a</w:t>
      </w:r>
      <w:proofErr w:type="gramEnd"/>
      <w:r w:rsidRPr="00AF3F16">
        <w:rPr>
          <w:rFonts w:ascii="Times New Roman" w:eastAsia="Times New Roman" w:hAnsi="Times New Roman"/>
          <w:b/>
          <w:bCs/>
          <w:color w:val="000000"/>
          <w:sz w:val="32"/>
          <w:szCs w:val="32"/>
          <w:lang w:eastAsia="hu-HU"/>
        </w:rPr>
        <w:t xml:space="preserve"> </w:t>
      </w:r>
      <w:r w:rsidR="00EE3C89">
        <w:rPr>
          <w:rFonts w:ascii="Times New Roman" w:eastAsia="Times New Roman" w:hAnsi="Times New Roman"/>
          <w:b/>
          <w:bCs/>
          <w:color w:val="000000"/>
          <w:sz w:val="32"/>
          <w:szCs w:val="32"/>
          <w:lang w:eastAsia="hu-HU"/>
        </w:rPr>
        <w:t xml:space="preserve">nemzetközi veszélyes áru szállítást érintő </w:t>
      </w:r>
      <w:r w:rsidR="00EE3C89" w:rsidRPr="00EE3C89">
        <w:rPr>
          <w:rFonts w:ascii="Times New Roman" w:eastAsia="Times New Roman" w:hAnsi="Times New Roman"/>
          <w:b/>
          <w:bCs/>
          <w:color w:val="000000"/>
          <w:sz w:val="32"/>
          <w:szCs w:val="32"/>
          <w:lang w:eastAsia="hu-HU"/>
        </w:rPr>
        <w:t>multilaterális megállapodásokról</w:t>
      </w:r>
      <w:r w:rsidR="00EE3C89">
        <w:t xml:space="preserve"> </w:t>
      </w:r>
      <w:bookmarkStart w:id="0" w:name="_GoBack"/>
      <w:bookmarkEnd w:id="0"/>
    </w:p>
    <w:p w:rsidR="00DB1F7D" w:rsidRPr="00A40129" w:rsidRDefault="00F5000A" w:rsidP="00F26B40">
      <w:pPr>
        <w:spacing w:before="10920" w:after="0"/>
        <w:jc w:val="center"/>
        <w:rPr>
          <w:rFonts w:ascii="Times New Roman" w:eastAsia="Times New Roman" w:hAnsi="Times New Roman"/>
          <w:b/>
          <w:color w:val="000000"/>
          <w:sz w:val="24"/>
          <w:lang w:eastAsia="hu-HU"/>
        </w:rPr>
      </w:pPr>
      <w:r w:rsidRPr="00A40129">
        <w:rPr>
          <w:noProof/>
          <w:lang w:eastAsia="hu-HU"/>
        </w:rPr>
        <w:drawing>
          <wp:anchor distT="0" distB="0" distL="114300" distR="114300" simplePos="0" relativeHeight="251657728" behindDoc="0" locked="0" layoutInCell="1" allowOverlap="1">
            <wp:simplePos x="0" y="0"/>
            <wp:positionH relativeFrom="column">
              <wp:posOffset>2085975</wp:posOffset>
            </wp:positionH>
            <wp:positionV relativeFrom="paragraph">
              <wp:posOffset>102235</wp:posOffset>
            </wp:positionV>
            <wp:extent cx="1516380" cy="1699260"/>
            <wp:effectExtent l="0" t="0" r="7620" b="0"/>
            <wp:wrapNone/>
            <wp:docPr id="2" name="Picture 7" descr="Leírás: katasztrofavedele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írás: katasztrofavedelem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6380" cy="1699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609A8" w:rsidRPr="00A40129">
        <w:rPr>
          <w:rFonts w:ascii="Times New Roman" w:eastAsia="Times New Roman" w:hAnsi="Times New Roman"/>
          <w:b/>
          <w:color w:val="000000"/>
          <w:sz w:val="24"/>
          <w:lang w:eastAsia="hu-HU"/>
        </w:rPr>
        <w:t>B</w:t>
      </w:r>
      <w:r w:rsidR="00DB1F7D" w:rsidRPr="00A40129">
        <w:rPr>
          <w:rFonts w:ascii="Times New Roman" w:eastAsia="Times New Roman" w:hAnsi="Times New Roman"/>
          <w:b/>
          <w:color w:val="000000"/>
          <w:sz w:val="24"/>
          <w:lang w:eastAsia="hu-HU"/>
        </w:rPr>
        <w:t xml:space="preserve">elügyminisztérium </w:t>
      </w:r>
    </w:p>
    <w:p w:rsidR="002609A8" w:rsidRPr="00A40129" w:rsidRDefault="002609A8" w:rsidP="002609A8">
      <w:pPr>
        <w:spacing w:after="0" w:line="238" w:lineRule="auto"/>
        <w:ind w:left="1792" w:right="1729"/>
        <w:jc w:val="center"/>
        <w:rPr>
          <w:rFonts w:ascii="Times New Roman" w:eastAsia="Times New Roman" w:hAnsi="Times New Roman"/>
          <w:b/>
          <w:color w:val="000000"/>
          <w:sz w:val="24"/>
          <w:lang w:eastAsia="hu-HU"/>
        </w:rPr>
      </w:pPr>
      <w:r w:rsidRPr="00A40129">
        <w:rPr>
          <w:rFonts w:ascii="Times New Roman" w:eastAsia="Times New Roman" w:hAnsi="Times New Roman"/>
          <w:b/>
          <w:color w:val="000000"/>
          <w:sz w:val="24"/>
          <w:lang w:eastAsia="hu-HU"/>
        </w:rPr>
        <w:t>Országos Katasztrófavédelmi Főigazgatóság</w:t>
      </w:r>
    </w:p>
    <w:p w:rsidR="004E17F7" w:rsidRDefault="004E17F7" w:rsidP="004E17F7">
      <w:pPr>
        <w:spacing w:after="0" w:line="237" w:lineRule="auto"/>
        <w:ind w:left="1792" w:right="1729"/>
        <w:jc w:val="center"/>
        <w:rPr>
          <w:rFonts w:ascii="Times New Roman" w:eastAsia="Times New Roman" w:hAnsi="Times New Roman"/>
          <w:color w:val="000000"/>
          <w:sz w:val="24"/>
          <w:lang w:eastAsia="hu-HU"/>
        </w:rPr>
      </w:pPr>
      <w:r>
        <w:rPr>
          <w:rFonts w:ascii="Times New Roman" w:eastAsia="Times New Roman" w:hAnsi="Times New Roman"/>
          <w:b/>
          <w:color w:val="000000"/>
          <w:sz w:val="24"/>
          <w:lang w:eastAsia="hu-HU"/>
        </w:rPr>
        <w:t xml:space="preserve">Budapest, </w:t>
      </w:r>
      <w:r w:rsidR="0038682B">
        <w:rPr>
          <w:rFonts w:ascii="Times New Roman" w:eastAsia="Times New Roman" w:hAnsi="Times New Roman"/>
          <w:b/>
          <w:color w:val="000000"/>
          <w:sz w:val="24"/>
          <w:lang w:eastAsia="hu-HU"/>
        </w:rPr>
        <w:t>202</w:t>
      </w:r>
      <w:r w:rsidR="00117076">
        <w:rPr>
          <w:rFonts w:ascii="Times New Roman" w:eastAsia="Times New Roman" w:hAnsi="Times New Roman"/>
          <w:b/>
          <w:color w:val="000000"/>
          <w:sz w:val="24"/>
          <w:lang w:eastAsia="hu-HU"/>
        </w:rPr>
        <w:t>5</w:t>
      </w:r>
      <w:r w:rsidR="0038682B">
        <w:rPr>
          <w:rFonts w:ascii="Times New Roman" w:eastAsia="Times New Roman" w:hAnsi="Times New Roman"/>
          <w:b/>
          <w:color w:val="000000"/>
          <w:sz w:val="24"/>
          <w:lang w:eastAsia="hu-HU"/>
        </w:rPr>
        <w:t xml:space="preserve">. </w:t>
      </w:r>
      <w:r w:rsidR="00117076">
        <w:rPr>
          <w:rFonts w:ascii="Times New Roman" w:eastAsia="Times New Roman" w:hAnsi="Times New Roman"/>
          <w:b/>
          <w:color w:val="000000"/>
          <w:sz w:val="24"/>
          <w:lang w:eastAsia="hu-HU"/>
        </w:rPr>
        <w:t>január</w:t>
      </w:r>
    </w:p>
    <w:p w:rsidR="00AF3F16" w:rsidRPr="00AF3F16" w:rsidRDefault="00AF3F16" w:rsidP="00060DEC">
      <w:pPr>
        <w:pStyle w:val="Cmsor2"/>
        <w:spacing w:line="360" w:lineRule="auto"/>
      </w:pPr>
      <w:r w:rsidRPr="00AF3F16">
        <w:lastRenderedPageBreak/>
        <w:t>Nemzetközi szállítások vonatkozásában az alábbi multilaterális megállapodások irányadóak, melyekhez Magyarország is csatlakozott!</w:t>
      </w:r>
    </w:p>
    <w:p w:rsidR="00AF3F16" w:rsidRPr="008F2653" w:rsidRDefault="00AF3F16" w:rsidP="00621D70">
      <w:pPr>
        <w:pStyle w:val="Cmsor2"/>
        <w:spacing w:before="480" w:after="240" w:line="360" w:lineRule="auto"/>
        <w:rPr>
          <w:lang w:eastAsia="hu-HU"/>
        </w:rPr>
      </w:pPr>
      <w:r w:rsidRPr="008F2653">
        <w:rPr>
          <w:lang w:eastAsia="hu-HU"/>
        </w:rPr>
        <w:t>Az Innovációs és Technológiai Minisztérium közleménye az ADR 1.5.1 szakasza szerinti M329 és a RID 1.5.1 szakasza szerinti 5/2020 számú multilaterális megállapodások aláírásáról és hatálybalépéséről</w:t>
      </w:r>
    </w:p>
    <w:p w:rsidR="00AF3F16" w:rsidRPr="00426903" w:rsidRDefault="00AF3F16" w:rsidP="00060DEC">
      <w:pPr>
        <w:autoSpaceDE w:val="0"/>
        <w:autoSpaceDN w:val="0"/>
        <w:adjustRightInd w:val="0"/>
        <w:spacing w:after="0" w:line="360" w:lineRule="auto"/>
        <w:rPr>
          <w:rFonts w:ascii="Times New Roman" w:hAnsi="Times New Roman"/>
          <w:color w:val="000000"/>
          <w:sz w:val="24"/>
          <w:szCs w:val="24"/>
          <w:lang w:eastAsia="hu-HU"/>
        </w:rPr>
      </w:pPr>
      <w:r w:rsidRPr="00426903">
        <w:rPr>
          <w:rFonts w:ascii="Times New Roman" w:hAnsi="Times New Roman"/>
          <w:color w:val="000000"/>
          <w:sz w:val="24"/>
          <w:szCs w:val="24"/>
          <w:lang w:eastAsia="hu-HU"/>
        </w:rPr>
        <w:t xml:space="preserve">Ezúton tájékoztatjuk a veszélyes áruk szállításában érintett vállalkozásokat, hogy Magyarország hatáskörrel rendelkező hatósága aláírta </w:t>
      </w:r>
      <w:r w:rsidR="00621D70">
        <w:rPr>
          <w:rFonts w:ascii="Times New Roman" w:hAnsi="Times New Roman"/>
          <w:color w:val="000000"/>
          <w:sz w:val="24"/>
          <w:szCs w:val="24"/>
          <w:lang w:eastAsia="hu-HU"/>
        </w:rPr>
        <w:t xml:space="preserve">az ADR 1.5.1 szakasza szerinti </w:t>
      </w:r>
      <w:r w:rsidRPr="00426903">
        <w:rPr>
          <w:rFonts w:ascii="Times New Roman" w:hAnsi="Times New Roman"/>
          <w:color w:val="000000"/>
          <w:sz w:val="24"/>
          <w:szCs w:val="24"/>
          <w:lang w:eastAsia="hu-HU"/>
        </w:rPr>
        <w:t>M329 számú és a RID 1.5.1 szakasza szerinti 5/2020 számú m</w:t>
      </w:r>
      <w:r w:rsidR="00621D70">
        <w:rPr>
          <w:rFonts w:ascii="Times New Roman" w:hAnsi="Times New Roman"/>
          <w:color w:val="000000"/>
          <w:sz w:val="24"/>
          <w:szCs w:val="24"/>
          <w:lang w:eastAsia="hu-HU"/>
        </w:rPr>
        <w:t xml:space="preserve">ultilaterális megállapodásokat </w:t>
      </w:r>
      <w:r w:rsidRPr="00426903">
        <w:rPr>
          <w:rFonts w:ascii="Times New Roman" w:hAnsi="Times New Roman"/>
          <w:color w:val="000000"/>
          <w:sz w:val="24"/>
          <w:szCs w:val="24"/>
          <w:lang w:eastAsia="hu-HU"/>
        </w:rPr>
        <w:t>(a továbbiakban: Megállapodások), amely</w:t>
      </w:r>
      <w:r w:rsidR="00621D70">
        <w:rPr>
          <w:rFonts w:ascii="Times New Roman" w:hAnsi="Times New Roman"/>
          <w:color w:val="000000"/>
          <w:sz w:val="24"/>
          <w:szCs w:val="24"/>
          <w:lang w:eastAsia="hu-HU"/>
        </w:rPr>
        <w:t xml:space="preserve">ek Magyarország vonatkozásában </w:t>
      </w:r>
      <w:r w:rsidRPr="00426903">
        <w:rPr>
          <w:rFonts w:ascii="Times New Roman" w:hAnsi="Times New Roman"/>
          <w:color w:val="000000"/>
          <w:sz w:val="24"/>
          <w:szCs w:val="24"/>
          <w:lang w:eastAsia="hu-HU"/>
        </w:rPr>
        <w:t xml:space="preserve">2021. február 9-én hatályba léptek. </w:t>
      </w:r>
    </w:p>
    <w:p w:rsidR="00AF3F16" w:rsidRPr="00426903" w:rsidRDefault="00AF3F16" w:rsidP="00621D70">
      <w:pPr>
        <w:autoSpaceDE w:val="0"/>
        <w:autoSpaceDN w:val="0"/>
        <w:adjustRightInd w:val="0"/>
        <w:spacing w:before="360" w:after="240" w:line="360" w:lineRule="auto"/>
        <w:ind w:left="960"/>
        <w:rPr>
          <w:rFonts w:ascii="Times New Roman" w:hAnsi="Times New Roman"/>
          <w:color w:val="000000"/>
          <w:sz w:val="24"/>
          <w:szCs w:val="24"/>
          <w:lang w:eastAsia="hu-HU"/>
        </w:rPr>
      </w:pPr>
      <w:r w:rsidRPr="00426903">
        <w:rPr>
          <w:rFonts w:ascii="Times New Roman" w:hAnsi="Times New Roman"/>
          <w:color w:val="000000"/>
          <w:sz w:val="24"/>
          <w:szCs w:val="24"/>
          <w:lang w:eastAsia="hu-HU"/>
        </w:rPr>
        <w:t xml:space="preserve">A Megállapodások magyar nyelvű szövege a következő: </w:t>
      </w:r>
    </w:p>
    <w:p w:rsidR="00AF3F16" w:rsidRPr="00426903" w:rsidRDefault="00AF3F16" w:rsidP="00060DEC">
      <w:pPr>
        <w:pStyle w:val="Cmsor2"/>
        <w:spacing w:line="360" w:lineRule="auto"/>
        <w:rPr>
          <w:rFonts w:eastAsia="Calibri"/>
          <w:lang w:eastAsia="hu-HU"/>
        </w:rPr>
      </w:pPr>
      <w:r w:rsidRPr="00426903">
        <w:rPr>
          <w:rFonts w:eastAsia="Calibri"/>
          <w:lang w:eastAsia="hu-HU"/>
        </w:rPr>
        <w:t xml:space="preserve">„M329 Multilaterális Megállapodás az ADR 1.5.1 szakasza alapján a veszélyes árukat tartalmazó egyes hulladékok szállításáról </w:t>
      </w:r>
    </w:p>
    <w:p w:rsidR="00AF3F16" w:rsidRPr="00426903" w:rsidRDefault="00AF3F16" w:rsidP="00060DEC">
      <w:pPr>
        <w:pStyle w:val="Cmsor3"/>
        <w:spacing w:line="360" w:lineRule="auto"/>
        <w:rPr>
          <w:rFonts w:eastAsia="Calibri"/>
          <w:color w:val="000000"/>
          <w:lang w:eastAsia="hu-HU"/>
        </w:rPr>
      </w:pPr>
      <w:r w:rsidRPr="00426903">
        <w:rPr>
          <w:rFonts w:eastAsia="Calibri"/>
          <w:color w:val="000000"/>
          <w:lang w:eastAsia="hu-HU"/>
        </w:rPr>
        <w:t xml:space="preserve">1. </w:t>
      </w:r>
      <w:r w:rsidRPr="00AF3F16">
        <w:rPr>
          <w:rFonts w:eastAsia="Calibri"/>
        </w:rPr>
        <w:t>Bevezetés</w:t>
      </w:r>
    </w:p>
    <w:p w:rsidR="00AF3F16" w:rsidRPr="00426903" w:rsidRDefault="00AF3F16" w:rsidP="00060DEC">
      <w:pPr>
        <w:autoSpaceDE w:val="0"/>
        <w:autoSpaceDN w:val="0"/>
        <w:adjustRightInd w:val="0"/>
        <w:spacing w:before="120"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1.1 Ez a Megállapodás csak a hulladékok gyűjtésével és szállításával kapcsolatban alkalmazható, a hulladékokra vonatkozó keretirányelvvel összhangban.</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1.2  Az ADR előírásaitól eltérően azok a hulladékok, amelyek veszélyes áruk vagy veszélyes árut tartalmaznak, a következő 2–8 bekezdés feltételei szerint szállíthatók.</w:t>
      </w:r>
    </w:p>
    <w:p w:rsidR="00AF3F16" w:rsidRPr="00426903" w:rsidRDefault="00AF3F16" w:rsidP="00060DEC">
      <w:pPr>
        <w:autoSpaceDE w:val="0"/>
        <w:autoSpaceDN w:val="0"/>
        <w:adjustRightInd w:val="0"/>
        <w:spacing w:after="0" w:line="360" w:lineRule="auto"/>
        <w:ind w:left="960" w:hanging="960"/>
        <w:rPr>
          <w:rFonts w:ascii="Times New Roman" w:hAnsi="Times New Roman"/>
          <w:color w:val="000000"/>
          <w:sz w:val="24"/>
          <w:szCs w:val="24"/>
          <w:lang w:eastAsia="hu-HU"/>
        </w:rPr>
      </w:pPr>
      <w:r w:rsidRPr="00426903">
        <w:rPr>
          <w:rFonts w:ascii="Times New Roman" w:hAnsi="Times New Roman"/>
          <w:color w:val="000000"/>
          <w:sz w:val="24"/>
          <w:szCs w:val="24"/>
          <w:lang w:eastAsia="hu-HU"/>
        </w:rPr>
        <w:t>1.3  Ez a Megállapodás nem vonatkozik a következők szállítására:</w:t>
      </w:r>
    </w:p>
    <w:p w:rsidR="00AF3F16" w:rsidRPr="00426903" w:rsidRDefault="00AF3F16" w:rsidP="00060DEC">
      <w:pPr>
        <w:autoSpaceDE w:val="0"/>
        <w:autoSpaceDN w:val="0"/>
        <w:adjustRightInd w:val="0"/>
        <w:spacing w:after="0" w:line="360" w:lineRule="auto"/>
        <w:ind w:left="960" w:hanging="534"/>
        <w:rPr>
          <w:rFonts w:ascii="Times New Roman" w:hAnsi="Times New Roman"/>
          <w:color w:val="000000"/>
          <w:sz w:val="24"/>
          <w:szCs w:val="24"/>
          <w:lang w:eastAsia="hu-HU"/>
        </w:rPr>
      </w:pPr>
      <w:proofErr w:type="gramStart"/>
      <w:r w:rsidRPr="00426903">
        <w:rPr>
          <w:rFonts w:ascii="Times New Roman" w:hAnsi="Times New Roman"/>
          <w:color w:val="000000"/>
          <w:sz w:val="24"/>
          <w:szCs w:val="24"/>
          <w:lang w:eastAsia="hu-HU"/>
        </w:rPr>
        <w:t>a</w:t>
      </w:r>
      <w:proofErr w:type="gramEnd"/>
      <w:r w:rsidRPr="00426903">
        <w:rPr>
          <w:rFonts w:ascii="Times New Roman" w:hAnsi="Times New Roman"/>
          <w:color w:val="000000"/>
          <w:sz w:val="24"/>
          <w:szCs w:val="24"/>
          <w:lang w:eastAsia="hu-HU"/>
        </w:rPr>
        <w:t xml:space="preserve">) </w:t>
      </w:r>
      <w:r w:rsidRPr="00426903">
        <w:rPr>
          <w:rFonts w:ascii="Times New Roman" w:hAnsi="Times New Roman"/>
          <w:color w:val="000000"/>
          <w:sz w:val="24"/>
          <w:szCs w:val="24"/>
          <w:lang w:eastAsia="hu-HU"/>
        </w:rPr>
        <w:tab/>
        <w:t>az 1 osztályba,</w:t>
      </w:r>
    </w:p>
    <w:p w:rsidR="00AF3F16" w:rsidRPr="00426903" w:rsidRDefault="00AF3F16" w:rsidP="00060DEC">
      <w:pPr>
        <w:autoSpaceDE w:val="0"/>
        <w:autoSpaceDN w:val="0"/>
        <w:adjustRightInd w:val="0"/>
        <w:spacing w:after="0" w:line="360" w:lineRule="auto"/>
        <w:ind w:left="960" w:hanging="534"/>
        <w:rPr>
          <w:rFonts w:ascii="Times New Roman" w:hAnsi="Times New Roman"/>
          <w:color w:val="000000"/>
          <w:sz w:val="24"/>
          <w:szCs w:val="24"/>
          <w:lang w:eastAsia="hu-HU"/>
        </w:rPr>
      </w:pPr>
      <w:r w:rsidRPr="00426903">
        <w:rPr>
          <w:rFonts w:ascii="Times New Roman" w:hAnsi="Times New Roman"/>
          <w:color w:val="000000"/>
          <w:sz w:val="24"/>
          <w:szCs w:val="24"/>
          <w:lang w:eastAsia="hu-HU"/>
        </w:rPr>
        <w:t xml:space="preserve">b) </w:t>
      </w:r>
      <w:r w:rsidRPr="00426903">
        <w:rPr>
          <w:rFonts w:ascii="Times New Roman" w:hAnsi="Times New Roman"/>
          <w:color w:val="000000"/>
          <w:sz w:val="24"/>
          <w:szCs w:val="24"/>
          <w:lang w:eastAsia="hu-HU"/>
        </w:rPr>
        <w:tab/>
        <w:t>a 6.2 osztályba,</w:t>
      </w:r>
    </w:p>
    <w:p w:rsidR="00AF3F16" w:rsidRPr="00426903" w:rsidRDefault="00AF3F16" w:rsidP="00060DEC">
      <w:pPr>
        <w:autoSpaceDE w:val="0"/>
        <w:autoSpaceDN w:val="0"/>
        <w:adjustRightInd w:val="0"/>
        <w:spacing w:after="0" w:line="360" w:lineRule="auto"/>
        <w:ind w:left="960" w:hanging="534"/>
        <w:rPr>
          <w:rFonts w:ascii="Times New Roman" w:hAnsi="Times New Roman"/>
          <w:color w:val="000000"/>
          <w:sz w:val="24"/>
          <w:szCs w:val="24"/>
          <w:lang w:eastAsia="hu-HU"/>
        </w:rPr>
      </w:pPr>
      <w:r w:rsidRPr="00426903">
        <w:rPr>
          <w:rFonts w:ascii="Times New Roman" w:hAnsi="Times New Roman"/>
          <w:color w:val="000000"/>
          <w:sz w:val="24"/>
          <w:szCs w:val="24"/>
          <w:lang w:eastAsia="hu-HU"/>
        </w:rPr>
        <w:t xml:space="preserve">c) </w:t>
      </w:r>
      <w:r w:rsidRPr="00426903">
        <w:rPr>
          <w:rFonts w:ascii="Times New Roman" w:hAnsi="Times New Roman"/>
          <w:color w:val="000000"/>
          <w:sz w:val="24"/>
          <w:szCs w:val="24"/>
          <w:lang w:eastAsia="hu-HU"/>
        </w:rPr>
        <w:tab/>
        <w:t>a 7 osztályba tartozó hulladékok,</w:t>
      </w:r>
    </w:p>
    <w:p w:rsidR="00AF3F16" w:rsidRPr="00426903" w:rsidRDefault="00AF3F16" w:rsidP="00060DEC">
      <w:pPr>
        <w:autoSpaceDE w:val="0"/>
        <w:autoSpaceDN w:val="0"/>
        <w:adjustRightInd w:val="0"/>
        <w:spacing w:after="0" w:line="360" w:lineRule="auto"/>
        <w:ind w:left="960" w:hanging="534"/>
        <w:rPr>
          <w:rFonts w:ascii="Times New Roman" w:hAnsi="Times New Roman"/>
          <w:color w:val="000000"/>
          <w:sz w:val="24"/>
          <w:szCs w:val="24"/>
          <w:lang w:eastAsia="hu-HU"/>
        </w:rPr>
      </w:pPr>
      <w:r w:rsidRPr="00426903">
        <w:rPr>
          <w:rFonts w:ascii="Times New Roman" w:hAnsi="Times New Roman"/>
          <w:color w:val="000000"/>
          <w:sz w:val="24"/>
          <w:szCs w:val="24"/>
          <w:lang w:eastAsia="hu-HU"/>
        </w:rPr>
        <w:t xml:space="preserve">d) </w:t>
      </w:r>
      <w:r w:rsidRPr="00426903">
        <w:rPr>
          <w:rFonts w:ascii="Times New Roman" w:hAnsi="Times New Roman"/>
          <w:color w:val="000000"/>
          <w:sz w:val="24"/>
          <w:szCs w:val="24"/>
          <w:lang w:eastAsia="hu-HU"/>
        </w:rPr>
        <w:tab/>
        <w:t xml:space="preserve">a 2 osztályba tartozó azon hulladékok, amelyekre mérgező bárca (2.3 vagy 6.1) </w:t>
      </w:r>
      <w:proofErr w:type="gramStart"/>
      <w:r w:rsidRPr="00426903">
        <w:rPr>
          <w:rFonts w:ascii="Times New Roman" w:hAnsi="Times New Roman"/>
          <w:color w:val="000000"/>
          <w:sz w:val="24"/>
          <w:szCs w:val="24"/>
          <w:lang w:eastAsia="hu-HU"/>
        </w:rPr>
        <w:t>szükséges</w:t>
      </w:r>
      <w:proofErr w:type="gramEnd"/>
      <w:r w:rsidRPr="00426903">
        <w:rPr>
          <w:rFonts w:ascii="Times New Roman" w:hAnsi="Times New Roman"/>
          <w:color w:val="000000"/>
          <w:sz w:val="24"/>
          <w:szCs w:val="24"/>
          <w:lang w:eastAsia="hu-HU"/>
        </w:rPr>
        <w:t>,</w:t>
      </w:r>
    </w:p>
    <w:p w:rsidR="00AF3F16" w:rsidRPr="00426903" w:rsidRDefault="00AF3F16" w:rsidP="00060DEC">
      <w:pPr>
        <w:autoSpaceDE w:val="0"/>
        <w:autoSpaceDN w:val="0"/>
        <w:adjustRightInd w:val="0"/>
        <w:spacing w:after="0" w:line="360" w:lineRule="auto"/>
        <w:ind w:left="960" w:hanging="534"/>
        <w:rPr>
          <w:rFonts w:ascii="Times New Roman" w:hAnsi="Times New Roman"/>
          <w:color w:val="000000"/>
          <w:sz w:val="24"/>
          <w:szCs w:val="24"/>
          <w:lang w:eastAsia="hu-HU"/>
        </w:rPr>
      </w:pPr>
      <w:proofErr w:type="gramStart"/>
      <w:r w:rsidRPr="00426903">
        <w:rPr>
          <w:rFonts w:ascii="Times New Roman" w:hAnsi="Times New Roman"/>
          <w:color w:val="000000"/>
          <w:sz w:val="24"/>
          <w:szCs w:val="24"/>
          <w:lang w:eastAsia="hu-HU"/>
        </w:rPr>
        <w:t>e</w:t>
      </w:r>
      <w:proofErr w:type="gramEnd"/>
      <w:r w:rsidRPr="00426903">
        <w:rPr>
          <w:rFonts w:ascii="Times New Roman" w:hAnsi="Times New Roman"/>
          <w:color w:val="000000"/>
          <w:sz w:val="24"/>
          <w:szCs w:val="24"/>
          <w:lang w:eastAsia="hu-HU"/>
        </w:rPr>
        <w:t xml:space="preserve">) </w:t>
      </w:r>
      <w:r w:rsidRPr="00426903">
        <w:rPr>
          <w:rFonts w:ascii="Times New Roman" w:hAnsi="Times New Roman"/>
          <w:color w:val="000000"/>
          <w:sz w:val="24"/>
          <w:szCs w:val="24"/>
          <w:lang w:eastAsia="hu-HU"/>
        </w:rPr>
        <w:tab/>
        <w:t>a 4.1 és az 5.2 osztályba tartozó azon hulladékok, amelyek hőmérséklet-szabályozást igényelnek (SR2, PM2 vagy P2 osztályozási kód) és</w:t>
      </w:r>
    </w:p>
    <w:p w:rsidR="00AF3F16" w:rsidRPr="00426903" w:rsidRDefault="00AF3F16" w:rsidP="00060DEC">
      <w:pPr>
        <w:autoSpaceDE w:val="0"/>
        <w:autoSpaceDN w:val="0"/>
        <w:adjustRightInd w:val="0"/>
        <w:spacing w:after="0" w:line="360" w:lineRule="auto"/>
        <w:ind w:left="960" w:hanging="534"/>
        <w:rPr>
          <w:rFonts w:ascii="Times New Roman" w:hAnsi="Times New Roman"/>
          <w:color w:val="000000"/>
          <w:sz w:val="24"/>
          <w:szCs w:val="24"/>
          <w:lang w:eastAsia="hu-HU"/>
        </w:rPr>
      </w:pPr>
      <w:proofErr w:type="gramStart"/>
      <w:r w:rsidRPr="00426903">
        <w:rPr>
          <w:rFonts w:ascii="Times New Roman" w:hAnsi="Times New Roman"/>
          <w:color w:val="000000"/>
          <w:sz w:val="24"/>
          <w:szCs w:val="24"/>
          <w:lang w:eastAsia="hu-HU"/>
        </w:rPr>
        <w:t>f</w:t>
      </w:r>
      <w:proofErr w:type="gramEnd"/>
      <w:r w:rsidRPr="00426903">
        <w:rPr>
          <w:rFonts w:ascii="Times New Roman" w:hAnsi="Times New Roman"/>
          <w:color w:val="000000"/>
          <w:sz w:val="24"/>
          <w:szCs w:val="24"/>
          <w:lang w:eastAsia="hu-HU"/>
        </w:rPr>
        <w:t xml:space="preserve">) </w:t>
      </w:r>
      <w:r w:rsidRPr="00426903">
        <w:rPr>
          <w:rFonts w:ascii="Times New Roman" w:hAnsi="Times New Roman"/>
          <w:color w:val="000000"/>
          <w:sz w:val="24"/>
          <w:szCs w:val="24"/>
          <w:lang w:eastAsia="hu-HU"/>
        </w:rPr>
        <w:tab/>
        <w:t>az UN 3245 Géntechnológiával módosított mikroorganizmusok vagy géntechnológiával módosított élő szervezetek hulladékai.</w:t>
      </w:r>
    </w:p>
    <w:p w:rsidR="00AF3F16" w:rsidRPr="00426903" w:rsidRDefault="00AF3F16" w:rsidP="00621D70">
      <w:pPr>
        <w:autoSpaceDE w:val="0"/>
        <w:autoSpaceDN w:val="0"/>
        <w:adjustRightInd w:val="0"/>
        <w:spacing w:before="960" w:after="120" w:line="360" w:lineRule="auto"/>
        <w:ind w:left="426"/>
        <w:rPr>
          <w:rFonts w:ascii="Times New Roman" w:hAnsi="Times New Roman"/>
          <w:b/>
          <w:color w:val="000000"/>
          <w:sz w:val="24"/>
          <w:szCs w:val="24"/>
          <w:lang w:eastAsia="hu-HU"/>
        </w:rPr>
      </w:pPr>
      <w:r w:rsidRPr="00426903">
        <w:rPr>
          <w:rFonts w:ascii="Times New Roman" w:hAnsi="Times New Roman"/>
          <w:b/>
          <w:color w:val="000000"/>
          <w:sz w:val="24"/>
          <w:szCs w:val="24"/>
          <w:lang w:eastAsia="hu-HU"/>
        </w:rPr>
        <w:lastRenderedPageBreak/>
        <w:t xml:space="preserve">2. </w:t>
      </w:r>
      <w:r w:rsidRPr="00AF3F16">
        <w:rPr>
          <w:rStyle w:val="Cmsor3Char"/>
          <w:rFonts w:eastAsia="Calibri"/>
        </w:rPr>
        <w:t>Osztályozás</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2.1  Egyszerűsített hozzárendelés</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2.1.1 Az ADR 2.1.3.5.5 pontja szerinti hozzárendelés ugyancsak alkalmazható</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proofErr w:type="gramStart"/>
      <w:r w:rsidRPr="00426903">
        <w:rPr>
          <w:rFonts w:ascii="Times New Roman" w:hAnsi="Times New Roman"/>
          <w:color w:val="000000"/>
          <w:sz w:val="24"/>
          <w:szCs w:val="24"/>
          <w:lang w:eastAsia="hu-HU"/>
        </w:rPr>
        <w:t>a</w:t>
      </w:r>
      <w:proofErr w:type="gramEnd"/>
      <w:r w:rsidRPr="00426903">
        <w:rPr>
          <w:rFonts w:ascii="Times New Roman" w:hAnsi="Times New Roman"/>
          <w:color w:val="000000"/>
          <w:sz w:val="24"/>
          <w:szCs w:val="24"/>
          <w:lang w:eastAsia="hu-HU"/>
        </w:rPr>
        <w:t>) az UN1950 hulladék aeroszol csomagolásokra és</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b) a folyékony anyagként való besorolásra, ha folyadékfázis képződése nem zárható ki.</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2.1.2  Az UN 3509 üres, tisztítatlan csomagolóeszköz-hulladék tételhez való hozzárendelés akkor is alkalmazható, ha a csomagolóeszköz megfelelő kiürítés után is tartalmaz anyag maradékot, amely nagyobb erőfeszítés nélkül nem távolítható el.</w:t>
      </w:r>
    </w:p>
    <w:p w:rsidR="00AF3F16" w:rsidRPr="00426903" w:rsidRDefault="00AF3F16" w:rsidP="00060DEC">
      <w:pPr>
        <w:autoSpaceDE w:val="0"/>
        <w:autoSpaceDN w:val="0"/>
        <w:adjustRightInd w:val="0"/>
        <w:spacing w:before="120" w:after="120" w:line="360" w:lineRule="auto"/>
        <w:rPr>
          <w:rFonts w:ascii="Times New Roman" w:hAnsi="Times New Roman"/>
          <w:color w:val="000000"/>
          <w:sz w:val="24"/>
          <w:szCs w:val="24"/>
          <w:lang w:eastAsia="hu-HU"/>
        </w:rPr>
      </w:pPr>
      <w:r w:rsidRPr="00426903">
        <w:rPr>
          <w:rFonts w:ascii="Times New Roman" w:hAnsi="Times New Roman"/>
          <w:color w:val="000000"/>
          <w:sz w:val="24"/>
          <w:szCs w:val="24"/>
          <w:lang w:eastAsia="hu-HU"/>
        </w:rPr>
        <w:t>2.2  Más anyaggal való véletlen keveredés</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 xml:space="preserve">Abban az esetben, ha a hulladékok az ADR szerint egy </w:t>
      </w:r>
      <w:proofErr w:type="gramStart"/>
      <w:r w:rsidRPr="00426903">
        <w:rPr>
          <w:rFonts w:ascii="Times New Roman" w:hAnsi="Times New Roman"/>
          <w:color w:val="000000"/>
          <w:sz w:val="24"/>
          <w:szCs w:val="24"/>
          <w:lang w:eastAsia="hu-HU"/>
        </w:rPr>
        <w:t>UN</w:t>
      </w:r>
      <w:proofErr w:type="gramEnd"/>
      <w:r w:rsidRPr="00426903">
        <w:rPr>
          <w:rFonts w:ascii="Times New Roman" w:hAnsi="Times New Roman"/>
          <w:color w:val="000000"/>
          <w:sz w:val="24"/>
          <w:szCs w:val="24"/>
          <w:lang w:eastAsia="hu-HU"/>
        </w:rPr>
        <w:t xml:space="preserve"> számhoz vannak rendelve vagy nem tartoznak az ADR előírásainak a hatálya alá, a más besorolású hulladékkal való véletlen összekeveredésüket nem szükséges figyelembe venni akkor, ha a teljes rakományra nézve a bekeveredett anyagtól nem várható veszélyes reakció vagy lényeges hatás a veszély mértékére.</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Ez nem vonatkozik az I. csomagolási csoporthoz rendelt hulladékokra és keverékekre.</w:t>
      </w:r>
    </w:p>
    <w:p w:rsidR="00AF3F16" w:rsidRPr="00426903" w:rsidRDefault="00AF3F16" w:rsidP="00060DEC">
      <w:pPr>
        <w:pStyle w:val="Cmsor3"/>
        <w:spacing w:line="360" w:lineRule="auto"/>
        <w:rPr>
          <w:rFonts w:eastAsia="Calibri"/>
          <w:lang w:eastAsia="hu-HU"/>
        </w:rPr>
      </w:pPr>
      <w:r w:rsidRPr="00426903">
        <w:rPr>
          <w:rFonts w:eastAsia="Calibri"/>
          <w:lang w:eastAsia="hu-HU"/>
        </w:rPr>
        <w:t>3. Csomagolóeszközök</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Mindaddig, amíg az állapotuk és tartalmuk, valamint a szállítás módja nem veszélyezteti az ADR 4.1.1 szakasz csomagolóeszközök biztonságára vonatkozó előírásainak betartását, a csomagolóeszközök az ADR előírásaitól eltérően a következők szerint használhatóak.</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3.1 A csomagolóeszközökön lévő kidudorodások, horpadások és szennyeződések elfogadhatók.</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3.2 A II és III csomagolási csoportba tartozó hulladékokhoz az alábbi csomagolóeszközök használhatóak:</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proofErr w:type="gramStart"/>
      <w:r w:rsidRPr="00426903">
        <w:rPr>
          <w:rFonts w:ascii="Times New Roman" w:hAnsi="Times New Roman"/>
          <w:color w:val="000000"/>
          <w:sz w:val="24"/>
          <w:szCs w:val="24"/>
          <w:lang w:eastAsia="hu-HU"/>
        </w:rPr>
        <w:t>a</w:t>
      </w:r>
      <w:proofErr w:type="gramEnd"/>
      <w:r w:rsidRPr="00426903">
        <w:rPr>
          <w:rFonts w:ascii="Times New Roman" w:hAnsi="Times New Roman"/>
          <w:color w:val="000000"/>
          <w:sz w:val="24"/>
          <w:szCs w:val="24"/>
          <w:lang w:eastAsia="hu-HU"/>
        </w:rPr>
        <w:t>) lejárt vizsgálati idejű, bevizsgált csomagolóeszközök,</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b) nem bevizsgált csomagolóeszközök és</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c) szilárd hulladékokhoz az EN 840-1–EN 840-4 szabványok szerinti mobil hulladékgyűjtő konténerek.</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A b) és c) pontok nem alkalmazhatók a II csomagolási csoportba tartozó azon hulladékokra, amelyek a következő osztályokhoz és osztályozási kódokhoz vannak hozzárendelve:</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3 osztály, kivéve UN 1228, 1263, 1268, 1866, 1986, 1988, 1992, 1993, 2478, 2733, 2924, 2985, 3021, 3248, 3273, 3274, 3286, 3469,</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lastRenderedPageBreak/>
        <w:t>4.1 osztály FO, FT, FC, SR1, PM1,</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4.2 osztály SW, SO, ST1-től ST4-ig, SC1-től SC4-ig,</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4.3 osztály,</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5.1 osztály OF, OS, OW, OT1, OT2, OC1, OC2, OTC,</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 xml:space="preserve">5.2 osztály P1, </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6.1 osztály TS, TW1, TW2, TO1, TO2, TC1-től TC4-ig, TFC, TFW,</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8 osztály, kivéve az UN 1759, 2683, 2734, 2920, 2921, 2922, 2923, 2986, 3084, 3093, 3094, 3095, 3096, 3244, 3264, 3266, 3301, 3470, 3471 és</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9 osztály M1</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Az a), b) és c) pontok nem alkalmazhatók a 3 és 4.1 osztály D vagy DT osztályozási kódú, II csomagolási csoportba tartozó hulladékokra.</w:t>
      </w:r>
    </w:p>
    <w:p w:rsidR="00AF3F16" w:rsidRPr="00426903" w:rsidRDefault="00AF3F16" w:rsidP="00060DEC">
      <w:pPr>
        <w:pStyle w:val="Cmsor3"/>
        <w:rPr>
          <w:rFonts w:eastAsia="Calibri"/>
          <w:lang w:eastAsia="hu-HU"/>
        </w:rPr>
      </w:pPr>
      <w:r w:rsidRPr="00426903">
        <w:rPr>
          <w:rFonts w:eastAsia="Calibri"/>
          <w:lang w:eastAsia="hu-HU"/>
        </w:rPr>
        <w:t>4. Ömlesztett szállítás</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Az ömlesztett szállításra a következő eltérések alkalmazhatók:</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4.1  Az UN 1950 aeroszol csomagolás hulladékok, amennyiben nem szivárognak és nincsenek súlyosan deformálódva, ömlesztve szállíthatók fedett vagy ponyvás járművekben, zárt konténerekben vagy ponyvás nagykonténerekben.</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Ezeket az aeroszol csomagolásokat nem szükséges ellátni a nem szándékos kibocsátás elleni védelemmel, feltéve, ha intézkedéseket hoznak a túlnyomás és a veszélyes légkör kialakulásának megelőzésére.</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Szerkezeti kialakítással vagy egyéb módon (például abszorbens anyaggal vagy szivárgásmentes tálcával) biztosítani kell azt, hogy a járművek rakteréből vagy a konténerekből szállítás közben ne szivároghasson ki folyadék.</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 xml:space="preserve">Rakodás előtt a járművek rakterét, illetve a konténereket – beleértve a szerelvényeiket –, sérülések szempontjából meg kell vizsgálni. </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A sérült rakterű járműveket, illetve konténereket nem szabad megrakodni.  A járművek, illetve konténerek rakterét csak a falak magasságáig szabad megrakni.</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4.2  Az UN 3509 üres, tisztítatlan csomagolóeszköz-hulladékok a BK2, illetve VC2 helyett a BK1, illetve VC1 előírások feltételei szerint szállíthatók, amennyiben minden más feltétel változatlan marad.  A „környezetre veszélyes anyag” jelölés egyik esetben sem szükséges.</w:t>
      </w:r>
    </w:p>
    <w:p w:rsidR="00AF3F16" w:rsidRPr="00426903" w:rsidRDefault="00AF3F16" w:rsidP="00060DEC">
      <w:pPr>
        <w:pStyle w:val="Cmsor3"/>
        <w:rPr>
          <w:rFonts w:eastAsia="Calibri"/>
          <w:lang w:eastAsia="hu-HU"/>
        </w:rPr>
      </w:pPr>
      <w:r w:rsidRPr="00426903">
        <w:rPr>
          <w:rFonts w:eastAsia="Calibri"/>
          <w:lang w:eastAsia="hu-HU"/>
        </w:rPr>
        <w:t>5. Bizonyos hulladékok szállítása</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5.1  Gépek és berendezések, amelyek belsejükben vagy üzemi berendezésükben veszélyes árut tartalmaznak.</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lastRenderedPageBreak/>
        <w:t>Azok a gépek és berendezések, amelyek belsejükben vagy üzemi berendezésükben veszélyes árut tartalmaznak, és ezért az UN 3537, 3538, 3540, 3541, 3544, 3546, 3547 vagy 3548 tételekhez vannak rendelve, mentesülnek az ADR előírásai alól, feltéve, ha megteszik a szükséges intézkedéseket a normális szállítási körülmények közötti szivárgások megakadályozására.</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5.2   Gyógyszerek</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Az SP 601 különleges előírás akkor is alkalmazható, ha a gyógyszerészeti termékek (gyógyszerek) már nincsenek kiskereskedelmi, értékesítési célra szolgáló csomagolásban vagy nem szánják további felhasználásra.</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5.3  Tűzoltó készülékek</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Az SP 594 különleges előírás akkor is alkalmazható az UN 1044 tétel alá tartozó tűzoltó készülékekhez, ha</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 erős, merevfalú külső csomagolásban (rácskeretes láda, raklapos láda stb.) vagy</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 xml:space="preserve">– palettán fektetve és rögzítve </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proofErr w:type="gramStart"/>
      <w:r w:rsidRPr="00426903">
        <w:rPr>
          <w:rFonts w:ascii="Times New Roman" w:hAnsi="Times New Roman"/>
          <w:color w:val="000000"/>
          <w:sz w:val="24"/>
          <w:szCs w:val="24"/>
          <w:lang w:eastAsia="hu-HU"/>
        </w:rPr>
        <w:t>vannak</w:t>
      </w:r>
      <w:proofErr w:type="gramEnd"/>
      <w:r w:rsidRPr="00426903">
        <w:rPr>
          <w:rFonts w:ascii="Times New Roman" w:hAnsi="Times New Roman"/>
          <w:color w:val="000000"/>
          <w:sz w:val="24"/>
          <w:szCs w:val="24"/>
          <w:lang w:eastAsia="hu-HU"/>
        </w:rPr>
        <w:t xml:space="preserve"> úgy, hogy normális szállítási körülmények között a véletlenszerű működtetés elleni védelem biztosított.</w:t>
      </w:r>
    </w:p>
    <w:p w:rsidR="00AF3F16" w:rsidRPr="00426903" w:rsidRDefault="00AF3F16" w:rsidP="00060DEC">
      <w:pPr>
        <w:pStyle w:val="Cmsor3"/>
        <w:rPr>
          <w:rFonts w:eastAsia="Calibri"/>
          <w:lang w:eastAsia="hu-HU"/>
        </w:rPr>
      </w:pPr>
      <w:r w:rsidRPr="00426903">
        <w:rPr>
          <w:rFonts w:eastAsia="Calibri"/>
          <w:lang w:eastAsia="hu-HU"/>
        </w:rPr>
        <w:t>6. A küldeménydarabok jelölése</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Az ADR 5.2 fejezet küldeménydarabok jelölésére vonatkozó előírásai a következő eltérésekkel alkalmazhatók:</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6.1  Abban az esetben is szabad a bárcákat a küldeménydarabokra az ADR 5.2.2.1.6 pont utolsó mondata szerint elhelyezni, ha az abban leírt feltételek nem teljesülnek.</w:t>
      </w:r>
    </w:p>
    <w:p w:rsidR="00AF3F16" w:rsidRPr="00426903" w:rsidRDefault="00AF3F16" w:rsidP="00060DEC">
      <w:pPr>
        <w:autoSpaceDE w:val="0"/>
        <w:autoSpaceDN w:val="0"/>
        <w:adjustRightInd w:val="0"/>
        <w:spacing w:after="0" w:line="360" w:lineRule="auto"/>
        <w:rPr>
          <w:rFonts w:ascii="Times New Roman" w:hAnsi="Times New Roman"/>
          <w:color w:val="000000"/>
          <w:sz w:val="24"/>
          <w:szCs w:val="24"/>
          <w:lang w:eastAsia="hu-HU"/>
        </w:rPr>
      </w:pPr>
      <w:r w:rsidRPr="00426903">
        <w:rPr>
          <w:rFonts w:ascii="Times New Roman" w:hAnsi="Times New Roman"/>
          <w:color w:val="000000"/>
          <w:sz w:val="24"/>
          <w:szCs w:val="24"/>
          <w:lang w:eastAsia="hu-HU"/>
        </w:rPr>
        <w:t>6.2  A „környezetre veszélyes anyag” jelölés nem szükséges.</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6.3 A küldeménydarabokat nem kell az ADR hatályos előírásai szerint jelölni és bárcázni, amennyiben attól eltérően, az ADR valamely korábbi változata előírásainak megfelelően vannak bárcázva és jelölve.</w:t>
      </w:r>
    </w:p>
    <w:p w:rsidR="00AF3F16" w:rsidRPr="00426903" w:rsidRDefault="00AF3F16" w:rsidP="00060DEC">
      <w:pPr>
        <w:pStyle w:val="Cmsor3"/>
        <w:rPr>
          <w:rFonts w:eastAsia="Calibri"/>
          <w:lang w:eastAsia="hu-HU"/>
        </w:rPr>
      </w:pPr>
      <w:r w:rsidRPr="00426903">
        <w:rPr>
          <w:rFonts w:eastAsia="Calibri"/>
          <w:lang w:eastAsia="hu-HU"/>
        </w:rPr>
        <w:t>7. A veszélyes áru fuvarokmányában feltüntetendő információk</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Az ADR 5.4.1 szakaszának a fuvarokmányban szereplő információkra vonatkozó előírásai a következő eltérésekkel alkalmazható</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7.1 Az ADR 5.4.1.1.1 b) pontja szerinti műszaki megnevezéssel való kiegészítés nem szükséges.</w:t>
      </w:r>
    </w:p>
    <w:p w:rsidR="00AF3F16" w:rsidRPr="00426903" w:rsidRDefault="00AF3F16" w:rsidP="00621D70">
      <w:pPr>
        <w:autoSpaceDE w:val="0"/>
        <w:autoSpaceDN w:val="0"/>
        <w:adjustRightInd w:val="0"/>
        <w:spacing w:after="24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7.2 Az ADR 5.4.1.1.1 f) pontja szerinti veszélyes áru mennyiség becslés alapján is megadható.</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7.3 Az ADR 5.4.1.1.6 pontja szerinti üres, tisztítatlan eszközök esetében a veszélyes rakomány vagy érintett részének megkülönböztetésére alkalmas általános leírás is használható az ADR 5.4.1.1.1 e) pontja szerinti részletezés helyett, a darabszám megadása nélkül.</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7.4  Az ADR 5.4.1.1.18 pontja szerinti kiegészítő „környezetre veszélyes anyag” jelölés nem szükséges.</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7.5  A fuvarokmányba a következő kiegészítést kell tenni: „Az ADR 1.5.1 szakasz (M329) szerinti szállítás”.</w:t>
      </w:r>
    </w:p>
    <w:p w:rsidR="00AF3F16" w:rsidRPr="00426903" w:rsidRDefault="00AF3F16" w:rsidP="00060DEC">
      <w:pPr>
        <w:pStyle w:val="Cmsor3"/>
        <w:rPr>
          <w:rFonts w:eastAsia="Calibri"/>
          <w:lang w:eastAsia="hu-HU"/>
        </w:rPr>
      </w:pPr>
      <w:r w:rsidRPr="00426903">
        <w:rPr>
          <w:rFonts w:eastAsia="Calibri"/>
          <w:lang w:eastAsia="hu-HU"/>
        </w:rPr>
        <w:t>8. Egyéb előírások</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8.1  A veszélyes áru ADR 3.4.12 szakasza szerinti összegzett bruttó tömeget becslés alapján is meg lehet adni, hacsak a szállító másként nem kéri.</w:t>
      </w:r>
    </w:p>
    <w:p w:rsidR="00AF3F16" w:rsidRPr="00426903" w:rsidRDefault="00AF3F16" w:rsidP="00060DEC">
      <w:pPr>
        <w:autoSpaceDE w:val="0"/>
        <w:autoSpaceDN w:val="0"/>
        <w:adjustRightInd w:val="0"/>
        <w:spacing w:after="0" w:line="360" w:lineRule="auto"/>
        <w:rPr>
          <w:rFonts w:ascii="Times New Roman" w:hAnsi="Times New Roman"/>
          <w:color w:val="000000"/>
          <w:sz w:val="24"/>
          <w:szCs w:val="24"/>
          <w:lang w:eastAsia="hu-HU"/>
        </w:rPr>
      </w:pPr>
      <w:r w:rsidRPr="00426903">
        <w:rPr>
          <w:rFonts w:ascii="Times New Roman" w:hAnsi="Times New Roman"/>
          <w:color w:val="000000"/>
          <w:sz w:val="24"/>
          <w:szCs w:val="24"/>
          <w:lang w:eastAsia="hu-HU"/>
        </w:rPr>
        <w:t>8.2  Az ADR minden más, vonatkozó előírását be kell tartani.</w:t>
      </w:r>
    </w:p>
    <w:p w:rsidR="00AF3F16" w:rsidRPr="00426903" w:rsidRDefault="00AF3F16" w:rsidP="00060DEC">
      <w:pPr>
        <w:pStyle w:val="Cmsor3"/>
        <w:rPr>
          <w:rFonts w:eastAsia="Calibri"/>
          <w:lang w:eastAsia="hu-HU"/>
        </w:rPr>
      </w:pPr>
      <w:r w:rsidRPr="00426903">
        <w:rPr>
          <w:rFonts w:eastAsia="Calibri"/>
          <w:lang w:eastAsia="hu-HU"/>
        </w:rPr>
        <w:t>9. Hatály</w:t>
      </w:r>
    </w:p>
    <w:p w:rsidR="00AF3F16" w:rsidRPr="00060DEC"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Ez a Megállapodás 2025. szeptember 21-ig alkalmazható azon ADR Szerződő Felek területén történő szállításokra, amelyek aláírták ezt a Megállapodást. Ha valamely aláíró ezen időpont előtt aláírását visszavonja, akkor az említett időpontig azon ADR Szerződő Felek területén történő szállításokra érvényes, amelyek nem vonták vissza.”</w:t>
      </w:r>
    </w:p>
    <w:p w:rsidR="00AF3F16" w:rsidRPr="00060DEC" w:rsidRDefault="00AF3F16" w:rsidP="00060DEC">
      <w:pPr>
        <w:pStyle w:val="Cmsor2"/>
        <w:rPr>
          <w:rFonts w:eastAsia="Calibri"/>
        </w:rPr>
      </w:pPr>
      <w:r w:rsidRPr="00060DEC">
        <w:rPr>
          <w:rFonts w:eastAsia="Calibri"/>
        </w:rPr>
        <w:t>„</w:t>
      </w:r>
      <w:r w:rsidRPr="00060DEC">
        <w:rPr>
          <w:rStyle w:val="Cmsor2Char"/>
          <w:rFonts w:eastAsia="Calibri"/>
          <w:b/>
          <w:bCs/>
          <w:iCs/>
        </w:rPr>
        <w:t>RID 5/2020 Multilaterális Megállapodás az RID 1.5.1 szakasza alapján a veszélyes árukat tartalmazó egyes hulladékok szállításáról</w:t>
      </w:r>
    </w:p>
    <w:p w:rsidR="00AF3F16" w:rsidRPr="00426903" w:rsidRDefault="00AF3F16" w:rsidP="00060DEC">
      <w:pPr>
        <w:pStyle w:val="Cmsor3"/>
        <w:rPr>
          <w:rFonts w:eastAsia="Calibri"/>
          <w:color w:val="000000"/>
          <w:szCs w:val="24"/>
          <w:lang w:eastAsia="hu-HU"/>
        </w:rPr>
      </w:pPr>
      <w:r w:rsidRPr="00426903">
        <w:rPr>
          <w:rFonts w:eastAsia="Calibri"/>
          <w:color w:val="000000"/>
          <w:szCs w:val="24"/>
          <w:lang w:eastAsia="hu-HU"/>
        </w:rPr>
        <w:t>1</w:t>
      </w:r>
      <w:r w:rsidRPr="00060DEC">
        <w:rPr>
          <w:rFonts w:eastAsia="Calibri"/>
        </w:rPr>
        <w:t>. Bevezetés</w:t>
      </w:r>
    </w:p>
    <w:p w:rsidR="00AF3F16" w:rsidRPr="00426903" w:rsidRDefault="00AF3F16" w:rsidP="00060DEC">
      <w:pPr>
        <w:autoSpaceDE w:val="0"/>
        <w:autoSpaceDN w:val="0"/>
        <w:adjustRightInd w:val="0"/>
        <w:spacing w:before="120"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1.1 Ez a Megállapodás csak a hulladékok gyűjtésével és szállításával kapcsolatban alkalmazható, a hulladékokra vonatkozó keretirányelvvel összhangban.</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1.2  A RID előírásaitól eltérően azok a hulladékok, amelyek veszélyes áruk vagy veszélyes árut tartalmaznak, a következő 2–8 bekezdés feltételei szerint szállíthatók.</w:t>
      </w:r>
    </w:p>
    <w:p w:rsidR="00AF3F16" w:rsidRPr="00426903" w:rsidRDefault="00AF3F16" w:rsidP="00060DEC">
      <w:pPr>
        <w:autoSpaceDE w:val="0"/>
        <w:autoSpaceDN w:val="0"/>
        <w:adjustRightInd w:val="0"/>
        <w:spacing w:after="0" w:line="360" w:lineRule="auto"/>
        <w:ind w:left="960" w:hanging="960"/>
        <w:rPr>
          <w:rFonts w:ascii="Times New Roman" w:hAnsi="Times New Roman"/>
          <w:color w:val="000000"/>
          <w:sz w:val="24"/>
          <w:szCs w:val="24"/>
          <w:lang w:eastAsia="hu-HU"/>
        </w:rPr>
      </w:pPr>
      <w:r w:rsidRPr="00426903">
        <w:rPr>
          <w:rFonts w:ascii="Times New Roman" w:hAnsi="Times New Roman"/>
          <w:color w:val="000000"/>
          <w:sz w:val="24"/>
          <w:szCs w:val="24"/>
          <w:lang w:eastAsia="hu-HU"/>
        </w:rPr>
        <w:t>1.3  Ez a Megállapodás nem vonatkozik a következők szállítására:</w:t>
      </w:r>
    </w:p>
    <w:p w:rsidR="00AF3F16" w:rsidRPr="00426903" w:rsidRDefault="00AF3F16" w:rsidP="00060DEC">
      <w:pPr>
        <w:autoSpaceDE w:val="0"/>
        <w:autoSpaceDN w:val="0"/>
        <w:adjustRightInd w:val="0"/>
        <w:spacing w:after="0" w:line="360" w:lineRule="auto"/>
        <w:ind w:left="960" w:hanging="534"/>
        <w:rPr>
          <w:rFonts w:ascii="Times New Roman" w:hAnsi="Times New Roman"/>
          <w:color w:val="000000"/>
          <w:sz w:val="24"/>
          <w:szCs w:val="24"/>
          <w:lang w:eastAsia="hu-HU"/>
        </w:rPr>
      </w:pPr>
      <w:proofErr w:type="gramStart"/>
      <w:r w:rsidRPr="00426903">
        <w:rPr>
          <w:rFonts w:ascii="Times New Roman" w:hAnsi="Times New Roman"/>
          <w:color w:val="000000"/>
          <w:sz w:val="24"/>
          <w:szCs w:val="24"/>
          <w:lang w:eastAsia="hu-HU"/>
        </w:rPr>
        <w:t>a</w:t>
      </w:r>
      <w:proofErr w:type="gramEnd"/>
      <w:r w:rsidRPr="00426903">
        <w:rPr>
          <w:rFonts w:ascii="Times New Roman" w:hAnsi="Times New Roman"/>
          <w:color w:val="000000"/>
          <w:sz w:val="24"/>
          <w:szCs w:val="24"/>
          <w:lang w:eastAsia="hu-HU"/>
        </w:rPr>
        <w:t xml:space="preserve">) </w:t>
      </w:r>
      <w:r w:rsidRPr="00426903">
        <w:rPr>
          <w:rFonts w:ascii="Times New Roman" w:hAnsi="Times New Roman"/>
          <w:color w:val="000000"/>
          <w:sz w:val="24"/>
          <w:szCs w:val="24"/>
          <w:lang w:eastAsia="hu-HU"/>
        </w:rPr>
        <w:tab/>
        <w:t>az 1 osztályba,</w:t>
      </w:r>
    </w:p>
    <w:p w:rsidR="00AF3F16" w:rsidRPr="00426903" w:rsidRDefault="00AF3F16" w:rsidP="00060DEC">
      <w:pPr>
        <w:autoSpaceDE w:val="0"/>
        <w:autoSpaceDN w:val="0"/>
        <w:adjustRightInd w:val="0"/>
        <w:spacing w:after="0" w:line="360" w:lineRule="auto"/>
        <w:ind w:left="960" w:hanging="534"/>
        <w:rPr>
          <w:rFonts w:ascii="Times New Roman" w:hAnsi="Times New Roman"/>
          <w:color w:val="000000"/>
          <w:sz w:val="24"/>
          <w:szCs w:val="24"/>
          <w:lang w:eastAsia="hu-HU"/>
        </w:rPr>
      </w:pPr>
      <w:r w:rsidRPr="00426903">
        <w:rPr>
          <w:rFonts w:ascii="Times New Roman" w:hAnsi="Times New Roman"/>
          <w:color w:val="000000"/>
          <w:sz w:val="24"/>
          <w:szCs w:val="24"/>
          <w:lang w:eastAsia="hu-HU"/>
        </w:rPr>
        <w:t xml:space="preserve">b) </w:t>
      </w:r>
      <w:r w:rsidRPr="00426903">
        <w:rPr>
          <w:rFonts w:ascii="Times New Roman" w:hAnsi="Times New Roman"/>
          <w:color w:val="000000"/>
          <w:sz w:val="24"/>
          <w:szCs w:val="24"/>
          <w:lang w:eastAsia="hu-HU"/>
        </w:rPr>
        <w:tab/>
        <w:t>a 6.2 osztályba,</w:t>
      </w:r>
    </w:p>
    <w:p w:rsidR="00AF3F16" w:rsidRPr="00426903" w:rsidRDefault="00AF3F16" w:rsidP="00060DEC">
      <w:pPr>
        <w:autoSpaceDE w:val="0"/>
        <w:autoSpaceDN w:val="0"/>
        <w:adjustRightInd w:val="0"/>
        <w:spacing w:after="0" w:line="360" w:lineRule="auto"/>
        <w:ind w:left="960" w:hanging="534"/>
        <w:rPr>
          <w:rFonts w:ascii="Times New Roman" w:hAnsi="Times New Roman"/>
          <w:color w:val="000000"/>
          <w:sz w:val="24"/>
          <w:szCs w:val="24"/>
          <w:lang w:eastAsia="hu-HU"/>
        </w:rPr>
      </w:pPr>
      <w:r w:rsidRPr="00426903">
        <w:rPr>
          <w:rFonts w:ascii="Times New Roman" w:hAnsi="Times New Roman"/>
          <w:color w:val="000000"/>
          <w:sz w:val="24"/>
          <w:szCs w:val="24"/>
          <w:lang w:eastAsia="hu-HU"/>
        </w:rPr>
        <w:t xml:space="preserve">c) </w:t>
      </w:r>
      <w:r w:rsidRPr="00426903">
        <w:rPr>
          <w:rFonts w:ascii="Times New Roman" w:hAnsi="Times New Roman"/>
          <w:color w:val="000000"/>
          <w:sz w:val="24"/>
          <w:szCs w:val="24"/>
          <w:lang w:eastAsia="hu-HU"/>
        </w:rPr>
        <w:tab/>
        <w:t>a 7 osztályba tartozó hulladékok,</w:t>
      </w:r>
    </w:p>
    <w:p w:rsidR="00AF3F16" w:rsidRPr="00426903" w:rsidRDefault="00AF3F16" w:rsidP="00060DEC">
      <w:pPr>
        <w:autoSpaceDE w:val="0"/>
        <w:autoSpaceDN w:val="0"/>
        <w:adjustRightInd w:val="0"/>
        <w:spacing w:after="0" w:line="360" w:lineRule="auto"/>
        <w:ind w:left="960" w:hanging="534"/>
        <w:rPr>
          <w:rFonts w:ascii="Times New Roman" w:hAnsi="Times New Roman"/>
          <w:color w:val="000000"/>
          <w:sz w:val="24"/>
          <w:szCs w:val="24"/>
          <w:lang w:eastAsia="hu-HU"/>
        </w:rPr>
      </w:pPr>
      <w:r w:rsidRPr="00426903">
        <w:rPr>
          <w:rFonts w:ascii="Times New Roman" w:hAnsi="Times New Roman"/>
          <w:color w:val="000000"/>
          <w:sz w:val="24"/>
          <w:szCs w:val="24"/>
          <w:lang w:eastAsia="hu-HU"/>
        </w:rPr>
        <w:t xml:space="preserve">d) </w:t>
      </w:r>
      <w:r w:rsidRPr="00426903">
        <w:rPr>
          <w:rFonts w:ascii="Times New Roman" w:hAnsi="Times New Roman"/>
          <w:color w:val="000000"/>
          <w:sz w:val="24"/>
          <w:szCs w:val="24"/>
          <w:lang w:eastAsia="hu-HU"/>
        </w:rPr>
        <w:tab/>
        <w:t>a 2 osztályba tartozó azon hulladékok, amelyekre mérgező bárca (2.3 vagy 6.1) szükséges, és</w:t>
      </w:r>
    </w:p>
    <w:p w:rsidR="00621D70" w:rsidRDefault="00AF3F16" w:rsidP="00621D70">
      <w:pPr>
        <w:autoSpaceDE w:val="0"/>
        <w:autoSpaceDN w:val="0"/>
        <w:adjustRightInd w:val="0"/>
        <w:spacing w:after="0" w:line="360" w:lineRule="auto"/>
        <w:ind w:left="960" w:hanging="534"/>
        <w:rPr>
          <w:rFonts w:ascii="Times New Roman" w:hAnsi="Times New Roman"/>
          <w:color w:val="000000"/>
          <w:sz w:val="24"/>
          <w:szCs w:val="24"/>
          <w:lang w:eastAsia="hu-HU"/>
        </w:rPr>
      </w:pPr>
      <w:proofErr w:type="gramStart"/>
      <w:r w:rsidRPr="00426903">
        <w:rPr>
          <w:rFonts w:ascii="Times New Roman" w:hAnsi="Times New Roman"/>
          <w:color w:val="000000"/>
          <w:sz w:val="24"/>
          <w:szCs w:val="24"/>
          <w:lang w:eastAsia="hu-HU"/>
        </w:rPr>
        <w:t>e</w:t>
      </w:r>
      <w:proofErr w:type="gramEnd"/>
      <w:r w:rsidRPr="00426903">
        <w:rPr>
          <w:rFonts w:ascii="Times New Roman" w:hAnsi="Times New Roman"/>
          <w:color w:val="000000"/>
          <w:sz w:val="24"/>
          <w:szCs w:val="24"/>
          <w:lang w:eastAsia="hu-HU"/>
        </w:rPr>
        <w:t xml:space="preserve">) </w:t>
      </w:r>
      <w:r w:rsidRPr="00426903">
        <w:rPr>
          <w:rFonts w:ascii="Times New Roman" w:hAnsi="Times New Roman"/>
          <w:color w:val="000000"/>
          <w:sz w:val="24"/>
          <w:szCs w:val="24"/>
          <w:lang w:eastAsia="hu-HU"/>
        </w:rPr>
        <w:tab/>
        <w:t>az UN 3245 Géntechnológiával módosított mikroorganizmusok vagy géntechnológiával módosított élő szervezetek hulladékai.</w:t>
      </w:r>
    </w:p>
    <w:p w:rsidR="00621D70" w:rsidRDefault="00621D70" w:rsidP="00621D70">
      <w:pPr>
        <w:rPr>
          <w:lang w:eastAsia="hu-HU"/>
        </w:rPr>
      </w:pPr>
      <w:r>
        <w:rPr>
          <w:lang w:eastAsia="hu-HU"/>
        </w:rPr>
        <w:br w:type="page"/>
      </w:r>
    </w:p>
    <w:p w:rsidR="00AF3F16" w:rsidRDefault="00AF3F16" w:rsidP="00621D70">
      <w:pPr>
        <w:autoSpaceDE w:val="0"/>
        <w:autoSpaceDN w:val="0"/>
        <w:adjustRightInd w:val="0"/>
        <w:spacing w:after="0" w:line="360" w:lineRule="auto"/>
        <w:ind w:left="960" w:hanging="534"/>
        <w:rPr>
          <w:lang w:eastAsia="hu-HU"/>
        </w:rPr>
      </w:pPr>
    </w:p>
    <w:p w:rsidR="00AF3F16" w:rsidRPr="00426903" w:rsidRDefault="00AF3F16" w:rsidP="00621D70">
      <w:pPr>
        <w:pStyle w:val="Cmsor3"/>
        <w:rPr>
          <w:rFonts w:eastAsia="Calibri"/>
          <w:lang w:eastAsia="hu-HU"/>
        </w:rPr>
      </w:pPr>
      <w:r w:rsidRPr="00426903">
        <w:rPr>
          <w:rFonts w:eastAsia="Calibri"/>
          <w:lang w:eastAsia="hu-HU"/>
        </w:rPr>
        <w:t>2. Osztályozás</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2.1  Egyszerűsített hozzárendelés</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2.1.1 A RID 2.1.3.5.5 pontja szerinti hozzárendelés ugyancsak alkalmazható</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proofErr w:type="gramStart"/>
      <w:r w:rsidRPr="00426903">
        <w:rPr>
          <w:rFonts w:ascii="Times New Roman" w:hAnsi="Times New Roman"/>
          <w:color w:val="000000"/>
          <w:sz w:val="24"/>
          <w:szCs w:val="24"/>
          <w:lang w:eastAsia="hu-HU"/>
        </w:rPr>
        <w:t>a</w:t>
      </w:r>
      <w:proofErr w:type="gramEnd"/>
      <w:r w:rsidRPr="00426903">
        <w:rPr>
          <w:rFonts w:ascii="Times New Roman" w:hAnsi="Times New Roman"/>
          <w:color w:val="000000"/>
          <w:sz w:val="24"/>
          <w:szCs w:val="24"/>
          <w:lang w:eastAsia="hu-HU"/>
        </w:rPr>
        <w:t>) az UN 1950 hulladék aeroszol csomagolásokra és</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b) a folyékony anyagként való besorolásra, ha folyadékfázis képződése nem zárható ki.</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2.1.2  Az UN 3509 üres, tisztítatlan csomagolóeszköz-hulladék tételhez való hozzárendelés akkor is alkalmazható, ha a csomagolóeszköz megfelelő kiürítés után is tartalmaz anyag maradékot, amely nagyobb erőfeszítés nélkül nem távolítható el.</w:t>
      </w:r>
    </w:p>
    <w:p w:rsidR="00AF3F16" w:rsidRPr="00426903" w:rsidRDefault="00AF3F16" w:rsidP="00060DEC">
      <w:pPr>
        <w:autoSpaceDE w:val="0"/>
        <w:autoSpaceDN w:val="0"/>
        <w:adjustRightInd w:val="0"/>
        <w:spacing w:after="0" w:line="360" w:lineRule="auto"/>
        <w:rPr>
          <w:rFonts w:ascii="Times New Roman" w:hAnsi="Times New Roman"/>
          <w:color w:val="000000"/>
          <w:sz w:val="24"/>
          <w:szCs w:val="24"/>
          <w:lang w:eastAsia="hu-HU"/>
        </w:rPr>
      </w:pPr>
      <w:r w:rsidRPr="00426903">
        <w:rPr>
          <w:rFonts w:ascii="Times New Roman" w:hAnsi="Times New Roman"/>
          <w:color w:val="000000"/>
          <w:sz w:val="24"/>
          <w:szCs w:val="24"/>
          <w:lang w:eastAsia="hu-HU"/>
        </w:rPr>
        <w:t>2.2  Más anyaggal való véletlen keveredés</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 xml:space="preserve">Abban az esetben, ha a hulladékok a RID szerint egy </w:t>
      </w:r>
      <w:proofErr w:type="gramStart"/>
      <w:r w:rsidRPr="00426903">
        <w:rPr>
          <w:rFonts w:ascii="Times New Roman" w:hAnsi="Times New Roman"/>
          <w:color w:val="000000"/>
          <w:sz w:val="24"/>
          <w:szCs w:val="24"/>
          <w:lang w:eastAsia="hu-HU"/>
        </w:rPr>
        <w:t>UN</w:t>
      </w:r>
      <w:proofErr w:type="gramEnd"/>
      <w:r w:rsidRPr="00426903">
        <w:rPr>
          <w:rFonts w:ascii="Times New Roman" w:hAnsi="Times New Roman"/>
          <w:color w:val="000000"/>
          <w:sz w:val="24"/>
          <w:szCs w:val="24"/>
          <w:lang w:eastAsia="hu-HU"/>
        </w:rPr>
        <w:t xml:space="preserve"> számhoz vannak rendelve vagy nem tartoznak a RID előírásainak a hatálya alá, a más besorolású hulladékkal való véletlen összekeveredésüket nem szükséges figyelembe venni akkor, ha a teljes rakományra nézve a bekeveredett anyagtól nem várható veszélyes reakció vagy lényeges hatás a veszély mértékére.</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Ez nem vonatkozik az I. csomagolási csoporthoz rendelt hulladékokra és keverékekre.</w:t>
      </w:r>
    </w:p>
    <w:p w:rsidR="00AF3F16" w:rsidRPr="00426903" w:rsidRDefault="00AF3F16" w:rsidP="00060DEC">
      <w:pPr>
        <w:pStyle w:val="Cmsor3"/>
        <w:rPr>
          <w:rFonts w:eastAsia="Calibri"/>
          <w:lang w:eastAsia="hu-HU"/>
        </w:rPr>
      </w:pPr>
      <w:r w:rsidRPr="00426903">
        <w:rPr>
          <w:rFonts w:eastAsia="Calibri"/>
          <w:lang w:eastAsia="hu-HU"/>
        </w:rPr>
        <w:t>3. Csomagolóeszközök</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Mindaddig, amíg az állapotuk és tartalmuk, valamint a szállítás módja nem veszélyezteti a RID 4.1.1 szakasz csomagolóeszközök biztonságára vonatkozó előírásainak betartását, a csomagolóeszközök a RID előírásaitól eltérően a következők szerint használhatóak.</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3.1 A csomagolóeszközökön lévő kidudorodások, horpadások és szennyeződések elfogadhatók.</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3.2 A II és III csomagolási csoportba tartozó hulladékokhoz az alábbi csomagolóeszközök használhatóak:</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proofErr w:type="gramStart"/>
      <w:r w:rsidRPr="00426903">
        <w:rPr>
          <w:rFonts w:ascii="Times New Roman" w:hAnsi="Times New Roman"/>
          <w:color w:val="000000"/>
          <w:sz w:val="24"/>
          <w:szCs w:val="24"/>
          <w:lang w:eastAsia="hu-HU"/>
        </w:rPr>
        <w:t>a</w:t>
      </w:r>
      <w:proofErr w:type="gramEnd"/>
      <w:r w:rsidRPr="00426903">
        <w:rPr>
          <w:rFonts w:ascii="Times New Roman" w:hAnsi="Times New Roman"/>
          <w:color w:val="000000"/>
          <w:sz w:val="24"/>
          <w:szCs w:val="24"/>
          <w:lang w:eastAsia="hu-HU"/>
        </w:rPr>
        <w:t>) lejárt vizsgálati idejű, bevizsgált csomagolóeszközök,</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b) nem bevizsgált csomagolóeszközök és</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c) szilárd hulladékokhoz az EN 840-1–EN 840-4 szabványok szerinti mobil hulladékgyűjtő konténerek.</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A b) és c) pontok nem alkalmazhatók a II csomagolási csoportba tartozó azon hulladékokra, amelyek a következő osztályokhoz és osztályozási kódokhoz vannak hozzárendelve:</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3 osztály, kivéve UN 1228, 1263, 1268, 1866, 1986, 1988, 1992, 1993, 2478, 2733, 2924, 2985, 3021, 3248, 3273, 3274, 3286, 3469,</w:t>
      </w:r>
    </w:p>
    <w:p w:rsidR="00AF3F16" w:rsidRPr="00426903" w:rsidRDefault="00AF3F16" w:rsidP="00621D70">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4.1 osztály FO, FT, FC, SR1, PM1,</w:t>
      </w:r>
    </w:p>
    <w:p w:rsidR="00AF3F16" w:rsidRPr="00426903" w:rsidRDefault="00AF3F16" w:rsidP="00621D70">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4.2 osztály SW, SO, ST1-től ST4-ig, SC1-től SC4-ig,</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4.3 osztály,</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5.1 osztály OF, OS, OW, OT1, OT2, OC1, OC2, OTC,</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 xml:space="preserve">5.2 osztály P1, </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6.1 osztály TS, TW1, TW2, TO1, TO2, TC1-től TC4-ig, TFC, TFW,</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8 osztály, kivéve az UN 1759, 2683, 2734, 2920, 2921, 2922, 2923, 2986, 3084, 3093, 3094, 3095, 3096, 3244, 3264, 3266, 3301, 3470, 3471 és</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9 osztály M1</w:t>
      </w:r>
    </w:p>
    <w:p w:rsidR="00AF3F16" w:rsidRDefault="00AF3F16" w:rsidP="00060DEC">
      <w:pPr>
        <w:autoSpaceDE w:val="0"/>
        <w:autoSpaceDN w:val="0"/>
        <w:adjustRightInd w:val="0"/>
        <w:spacing w:after="0" w:line="360" w:lineRule="auto"/>
        <w:ind w:left="426"/>
        <w:rPr>
          <w:lang w:eastAsia="hu-HU"/>
        </w:rPr>
      </w:pPr>
      <w:r w:rsidRPr="00426903">
        <w:rPr>
          <w:rFonts w:ascii="Times New Roman" w:hAnsi="Times New Roman"/>
          <w:color w:val="000000"/>
          <w:sz w:val="24"/>
          <w:szCs w:val="24"/>
          <w:lang w:eastAsia="hu-HU"/>
        </w:rPr>
        <w:t>Az a), b) és c) pontok nem alkalmazhatók a 3 és 4.1 osztály D vagy DT osztályozási kódú, II csomagolási csoportba tartozó hulladékokra.</w:t>
      </w:r>
    </w:p>
    <w:p w:rsidR="00AF3F16" w:rsidRPr="00426903" w:rsidRDefault="00AF3F16" w:rsidP="00060DEC">
      <w:pPr>
        <w:pStyle w:val="Cmsor3"/>
        <w:rPr>
          <w:rFonts w:eastAsia="Calibri"/>
          <w:lang w:eastAsia="hu-HU"/>
        </w:rPr>
      </w:pPr>
      <w:r w:rsidRPr="00426903">
        <w:rPr>
          <w:rFonts w:eastAsia="Calibri"/>
          <w:lang w:eastAsia="hu-HU"/>
        </w:rPr>
        <w:t>4. Ömlesztett szállítás</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Az ömlesztett szállításra a következő eltérések alkalmazhatók:</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4.1  Az UN 1950 aeroszol csomagolás hulladékok, amennyiben nem szivárognak és nincsenek súlyosan deformálódva, ömlesztve szállíthatók fedett vagy ponyvás járművekben, zárt konténerekben vagy ponyvás nagykonténerekben.</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Ezeket az aeroszol csomagolásokat nem szükséges ellátni a nem szándékos kibocsátás elleni védelemmel, feltéve, ha intézkedéseket hoznak a túlnyomás és a veszélyes légkör kialakulásának megelőzésére.</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Szerkezeti kialakítással vagy egyéb módon (például abszorbens anyaggal vagy szivárgásmentes tálcával) biztosítani kell azt, hogy a járművek rakteréből vagy a konténerekből szállítás közben ne szivároghasson ki folyadék.</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 xml:space="preserve">Rakodás előtt a járművek rakterét, illetve a konténereket – beleértve a szerelvényeiket –, sérülések szempontjából meg kell vizsgálni. </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A sérült rakterű járműveket, illetve konténereket nem szabad megrakodni.  A járművek, illetve konténerek rakterét csak a falak magasságáig szabad megrakni.</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4.2  Az UN 3509 üres, tisztítatlan csomagolóeszköz-hulladékok a BK2, illetve VC2 helyett a BK1, illetve VC1 előírások feltételei szerint szállíthatók, amennyiben minden más feltétel változatlan marad.  A „környezetre veszélyes anyag” jelölés egyik esetben sem szükséges.</w:t>
      </w:r>
    </w:p>
    <w:p w:rsidR="00AF3F16" w:rsidRPr="00426903" w:rsidRDefault="00AF3F16" w:rsidP="00060DEC">
      <w:pPr>
        <w:pStyle w:val="Cmsor3"/>
        <w:rPr>
          <w:rFonts w:eastAsia="Calibri"/>
          <w:lang w:eastAsia="hu-HU"/>
        </w:rPr>
      </w:pPr>
      <w:r w:rsidRPr="00426903">
        <w:rPr>
          <w:rFonts w:eastAsia="Calibri"/>
          <w:lang w:eastAsia="hu-HU"/>
        </w:rPr>
        <w:t>5. Bizonyos hulladékok szállítása</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5.1  Gépek és berendezések, amelyek belsejükben vagy üzemi berendezésükben veszélyes árut tartalmaznak.</w:t>
      </w:r>
    </w:p>
    <w:p w:rsidR="00AF3F16" w:rsidRPr="00426903" w:rsidRDefault="00AF3F16" w:rsidP="00621D70">
      <w:pPr>
        <w:autoSpaceDE w:val="0"/>
        <w:autoSpaceDN w:val="0"/>
        <w:adjustRightInd w:val="0"/>
        <w:spacing w:before="360"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Azok a gépek és berendezések, amelyek belsejükben vagy üzemi berendezésükben veszélyes árut tartalmaznak, és ezért az UN 3537, 3538, 3540, 3541, 3544, 3546, 3547 vagy 3548 tételekhez vannak rendelve, mentesülnek az ADR előírásai alól, feltéve, ha megteszik a szükséges intézkedéseket a normális szállítási körülmények közötti szivárgások megakadályozására.</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5.2   Gyógyszerek</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Az SP 601 különleges előírás akkor is alkalmazható, ha a gyógyszerészeti termékek (gyógyszerek) már nincsenek kiskereskedelmi, értékesítési célra szolgáló csomagolásban vagy nem szánják további felhasználásra.</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5.3  Tűzoltó készülékek</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Az SP 594 különleges előírás akkor is alkalmazható az UN 1044 tétel alá tartozó tűzoltó készülékekhez, ha</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 erős, merevfalú külső csomagolásban (rácskeretes láda, raklapos láda stb.) vagy</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 palettán fektetve és rögzítve</w:t>
      </w:r>
    </w:p>
    <w:p w:rsidR="00AF3F16"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proofErr w:type="gramStart"/>
      <w:r w:rsidRPr="00426903">
        <w:rPr>
          <w:rFonts w:ascii="Times New Roman" w:hAnsi="Times New Roman"/>
          <w:color w:val="000000"/>
          <w:sz w:val="24"/>
          <w:szCs w:val="24"/>
          <w:lang w:eastAsia="hu-HU"/>
        </w:rPr>
        <w:t>vannak</w:t>
      </w:r>
      <w:proofErr w:type="gramEnd"/>
      <w:r w:rsidRPr="00426903">
        <w:rPr>
          <w:rFonts w:ascii="Times New Roman" w:hAnsi="Times New Roman"/>
          <w:color w:val="000000"/>
          <w:sz w:val="24"/>
          <w:szCs w:val="24"/>
          <w:lang w:eastAsia="hu-HU"/>
        </w:rPr>
        <w:t xml:space="preserve"> úgy, hogy normális szállítási körülmények között a véletlenszerű működtetés elleni védelem biztosított.</w:t>
      </w:r>
    </w:p>
    <w:p w:rsidR="00AF3F16" w:rsidRPr="00426903" w:rsidRDefault="00AF3F16" w:rsidP="00060DEC">
      <w:pPr>
        <w:pStyle w:val="Cmsor3"/>
        <w:rPr>
          <w:rFonts w:eastAsia="Calibri"/>
          <w:lang w:eastAsia="hu-HU"/>
        </w:rPr>
      </w:pPr>
      <w:r w:rsidRPr="00426903">
        <w:rPr>
          <w:rFonts w:eastAsia="Calibri"/>
          <w:lang w:eastAsia="hu-HU"/>
        </w:rPr>
        <w:t>6. A küldeménydarabok jelölése</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A RID 5.2 fejezet küldeménydarabok jelölésére vonatkozó előírásai a következő eltérésekkel alkalmazhatók:</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6.1  Abban az esetben is szabad a bárcákat a küldeménydarabokra a RID 5.2.2.1.6 pont utolsó mondata szerint elhelyezni, ha az abban leírt feltételek nem teljesülnek.</w:t>
      </w:r>
    </w:p>
    <w:p w:rsidR="00AF3F16" w:rsidRPr="00426903" w:rsidRDefault="00AF3F16" w:rsidP="00060DEC">
      <w:pPr>
        <w:autoSpaceDE w:val="0"/>
        <w:autoSpaceDN w:val="0"/>
        <w:adjustRightInd w:val="0"/>
        <w:spacing w:after="0" w:line="360" w:lineRule="auto"/>
        <w:rPr>
          <w:rFonts w:ascii="Times New Roman" w:hAnsi="Times New Roman"/>
          <w:color w:val="000000"/>
          <w:sz w:val="24"/>
          <w:szCs w:val="24"/>
          <w:lang w:eastAsia="hu-HU"/>
        </w:rPr>
      </w:pPr>
      <w:r w:rsidRPr="00426903">
        <w:rPr>
          <w:rFonts w:ascii="Times New Roman" w:hAnsi="Times New Roman"/>
          <w:color w:val="000000"/>
          <w:sz w:val="24"/>
          <w:szCs w:val="24"/>
          <w:lang w:eastAsia="hu-HU"/>
        </w:rPr>
        <w:t>6.2  A „környezetre veszélyes anyag” jelölés nem szükséges.</w:t>
      </w:r>
    </w:p>
    <w:p w:rsidR="00AF3F16" w:rsidRPr="00426903" w:rsidRDefault="00AF3F16" w:rsidP="00060DEC">
      <w:pPr>
        <w:autoSpaceDE w:val="0"/>
        <w:autoSpaceDN w:val="0"/>
        <w:adjustRightInd w:val="0"/>
        <w:spacing w:after="0" w:line="360" w:lineRule="auto"/>
        <w:ind w:left="426" w:hanging="426"/>
        <w:rPr>
          <w:rFonts w:ascii="Myriad Pro" w:hAnsi="Myriad Pro"/>
          <w:sz w:val="24"/>
          <w:szCs w:val="24"/>
          <w:lang w:eastAsia="hu-HU"/>
        </w:rPr>
      </w:pPr>
      <w:r w:rsidRPr="00426903">
        <w:rPr>
          <w:rFonts w:ascii="Times New Roman" w:hAnsi="Times New Roman"/>
          <w:color w:val="000000"/>
          <w:sz w:val="24"/>
          <w:szCs w:val="24"/>
          <w:lang w:eastAsia="hu-HU"/>
        </w:rPr>
        <w:t>6.3 A küldeménydarabokat nem kell a RID hatályos előírásai szerint jelölni és bárcázni, amennyiben attól eltérően, a RID valamely korábbi változata előírásainak megfelelően vannak bárcázva és jelölve.</w:t>
      </w:r>
    </w:p>
    <w:p w:rsidR="00AF3F16" w:rsidRPr="00426903" w:rsidRDefault="00AF3F16" w:rsidP="00060DEC">
      <w:pPr>
        <w:pStyle w:val="Cmsor3"/>
        <w:rPr>
          <w:rFonts w:eastAsia="Calibri"/>
          <w:lang w:eastAsia="hu-HU"/>
        </w:rPr>
      </w:pPr>
      <w:r w:rsidRPr="00426903">
        <w:rPr>
          <w:rFonts w:eastAsia="Calibri"/>
          <w:lang w:eastAsia="hu-HU"/>
        </w:rPr>
        <w:t>7. A veszélyes áru fuvarokmányában feltüntetendő információk</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A RID 5.4.1 szakaszának a fuvarokmányban szereplő információkra vonatkozó előírásai a következő eltérésekkel alkalmazható</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7.1 A RID 5.4.1.1.1 b) pontja szerinti műszaki megnevezéssel való kiegészítés nem szükséges.</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7.2  A RID 5.4.1.1.1 f) pontja szerinti veszélyes áru mennyiség becslés alapján is megadható.</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7.3  A RID 5.4.1.1.6 pontja szerinti üres, tisztítatlan eszközök esetében a veszélyes rakomány vagy érintett részének megkülönböztetésére alkalmas általános leírás is használható a RID 5.4.1.1.1 e) pontja szerinti részletezés helyett, a darabszám megadása nélkül.</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7.4  A RID 5.4.1.1.18 pontja szerinti kiegészítő „környezetre veszélyes anyag” jelölés nem szükséges.</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7.5  A fuvarokmányba a következő kiegészítést kell tenni: „A RID 1.5.1 szakasz (RID 5/2020) szerinti szállítás”.</w:t>
      </w:r>
    </w:p>
    <w:p w:rsidR="00AF3F16" w:rsidRPr="00426903" w:rsidRDefault="00AF3F16" w:rsidP="00060DEC">
      <w:pPr>
        <w:pStyle w:val="Cmsor3"/>
        <w:rPr>
          <w:rFonts w:eastAsia="Calibri"/>
          <w:lang w:eastAsia="hu-HU"/>
        </w:rPr>
      </w:pPr>
      <w:r w:rsidRPr="00426903">
        <w:rPr>
          <w:rFonts w:eastAsia="Calibri"/>
          <w:lang w:eastAsia="hu-HU"/>
        </w:rPr>
        <w:t>8. Egyéb előírások</w:t>
      </w:r>
    </w:p>
    <w:p w:rsidR="00AF3F16" w:rsidRPr="00426903" w:rsidRDefault="00AF3F16" w:rsidP="00060DEC">
      <w:pPr>
        <w:autoSpaceDE w:val="0"/>
        <w:autoSpaceDN w:val="0"/>
        <w:adjustRightInd w:val="0"/>
        <w:spacing w:after="0" w:line="360" w:lineRule="auto"/>
        <w:ind w:left="426" w:hanging="426"/>
        <w:rPr>
          <w:rFonts w:ascii="Times New Roman" w:hAnsi="Times New Roman"/>
          <w:color w:val="000000"/>
          <w:sz w:val="24"/>
          <w:szCs w:val="24"/>
          <w:lang w:eastAsia="hu-HU"/>
        </w:rPr>
      </w:pPr>
      <w:r w:rsidRPr="00426903">
        <w:rPr>
          <w:rFonts w:ascii="Times New Roman" w:hAnsi="Times New Roman"/>
          <w:color w:val="000000"/>
          <w:sz w:val="24"/>
          <w:szCs w:val="24"/>
          <w:lang w:eastAsia="hu-HU"/>
        </w:rPr>
        <w:t>8.1  A veszélyes áru RID 3.4.12 szakasza szerinti összegzett bruttó tömeget becslés alapján is meg lehet adni, hacsak a szállító másként nem kéri.</w:t>
      </w:r>
    </w:p>
    <w:p w:rsidR="00AF3F16" w:rsidRPr="00426903" w:rsidRDefault="00AF3F16" w:rsidP="00060DEC">
      <w:pPr>
        <w:autoSpaceDE w:val="0"/>
        <w:autoSpaceDN w:val="0"/>
        <w:adjustRightInd w:val="0"/>
        <w:spacing w:after="0" w:line="360" w:lineRule="auto"/>
        <w:rPr>
          <w:rFonts w:ascii="Times New Roman" w:hAnsi="Times New Roman"/>
          <w:color w:val="000000"/>
          <w:sz w:val="24"/>
          <w:szCs w:val="24"/>
          <w:lang w:eastAsia="hu-HU"/>
        </w:rPr>
      </w:pPr>
      <w:r w:rsidRPr="00426903">
        <w:rPr>
          <w:rFonts w:ascii="Times New Roman" w:hAnsi="Times New Roman"/>
          <w:color w:val="000000"/>
          <w:sz w:val="24"/>
          <w:szCs w:val="24"/>
          <w:lang w:eastAsia="hu-HU"/>
        </w:rPr>
        <w:t>8.2  A RID minden más, vonatkozó előírását be kell tartani.</w:t>
      </w:r>
    </w:p>
    <w:p w:rsidR="00AF3F16" w:rsidRPr="00426903" w:rsidRDefault="00AF3F16" w:rsidP="00060DEC">
      <w:pPr>
        <w:pStyle w:val="Cmsor3"/>
        <w:rPr>
          <w:rFonts w:eastAsia="Calibri"/>
          <w:lang w:eastAsia="hu-HU"/>
        </w:rPr>
      </w:pPr>
      <w:r w:rsidRPr="00426903">
        <w:rPr>
          <w:rFonts w:eastAsia="Calibri"/>
          <w:lang w:eastAsia="hu-HU"/>
        </w:rPr>
        <w:t>9. Hatály</w:t>
      </w:r>
    </w:p>
    <w:p w:rsidR="00AF3F16" w:rsidRPr="00426903" w:rsidRDefault="00AF3F16" w:rsidP="00060DEC">
      <w:pPr>
        <w:autoSpaceDE w:val="0"/>
        <w:autoSpaceDN w:val="0"/>
        <w:adjustRightInd w:val="0"/>
        <w:spacing w:after="0" w:line="360" w:lineRule="auto"/>
        <w:ind w:left="426"/>
        <w:rPr>
          <w:rFonts w:ascii="Times New Roman" w:hAnsi="Times New Roman"/>
          <w:color w:val="000000"/>
          <w:sz w:val="24"/>
          <w:szCs w:val="24"/>
          <w:lang w:eastAsia="hu-HU"/>
        </w:rPr>
      </w:pPr>
      <w:r w:rsidRPr="00426903">
        <w:rPr>
          <w:rFonts w:ascii="Times New Roman" w:hAnsi="Times New Roman"/>
          <w:color w:val="000000"/>
          <w:sz w:val="24"/>
          <w:szCs w:val="24"/>
          <w:lang w:eastAsia="hu-HU"/>
        </w:rPr>
        <w:t>Ez a Megállapodás 2025. szeptember 21-ig alkalmazható azon RID Szerződő Államok területén történő szállításokra, amelyek aláírták ezt a Megállapodást.  Ha valamely aláíró ezen időpont előtt aláírását visszavonja, akkor az említett időpontig azon RID Szerződő Államok területén történő szállításokra érvényes, amelyek nem vonták vissza.”</w:t>
      </w:r>
    </w:p>
    <w:p w:rsidR="0038682B" w:rsidRPr="0038682B" w:rsidRDefault="00CC3E4A" w:rsidP="00621D70">
      <w:pPr>
        <w:pStyle w:val="Cmsor2"/>
        <w:spacing w:before="360"/>
        <w:rPr>
          <w:lang w:eastAsia="hu-HU"/>
        </w:rPr>
      </w:pPr>
      <w:r w:rsidRPr="00CC3E4A">
        <w:rPr>
          <w:lang w:eastAsia="hu-HU"/>
        </w:rPr>
        <w:t>Az Innovációs és Technológiai Minisztérium az ADR 1.5.1 szakasza szerinti M338 és a RID 4/2021 számú multilaterális megállapodások aláí</w:t>
      </w:r>
      <w:r w:rsidR="0038682B">
        <w:rPr>
          <w:lang w:eastAsia="hu-HU"/>
        </w:rPr>
        <w:t>rásáról és hatálybalépésükről</w:t>
      </w:r>
    </w:p>
    <w:p w:rsidR="00CC3E4A" w:rsidRPr="00CC3E4A" w:rsidRDefault="00CC3E4A" w:rsidP="00CC3E4A">
      <w:pPr>
        <w:spacing w:before="120" w:after="120" w:line="360" w:lineRule="auto"/>
        <w:rPr>
          <w:rFonts w:ascii="Times New Roman" w:hAnsi="Times New Roman"/>
          <w:color w:val="000000"/>
          <w:sz w:val="24"/>
          <w:szCs w:val="24"/>
          <w:lang w:eastAsia="hu-HU"/>
        </w:rPr>
      </w:pPr>
      <w:r w:rsidRPr="00CC3E4A">
        <w:rPr>
          <w:rFonts w:ascii="Times New Roman" w:hAnsi="Times New Roman"/>
          <w:color w:val="000000"/>
          <w:sz w:val="24"/>
          <w:szCs w:val="24"/>
          <w:lang w:eastAsia="hu-HU"/>
        </w:rPr>
        <w:t>Ezúton tájékoztatjuk a veszélyes áruk szállításában érintett vállalkozásokat, hogy Magyarország hatáskörrel rendelkező hatósága aláírta az ADR 1.5.1 szakasza szerinti M338 és a RID 4/2021 számú multilaterális megállapodásokat (a továbbiakban: Megállapodások), amelyek Magyarország vonatkozásában 2021. július 23-án hatályba léptek.</w:t>
      </w:r>
    </w:p>
    <w:p w:rsidR="00CC3E4A" w:rsidRPr="00CC3E4A" w:rsidRDefault="00CC3E4A" w:rsidP="00621D70">
      <w:pPr>
        <w:spacing w:before="360" w:after="240" w:line="360" w:lineRule="auto"/>
        <w:ind w:firstLine="708"/>
        <w:rPr>
          <w:rFonts w:ascii="Times New Roman" w:hAnsi="Times New Roman"/>
          <w:color w:val="000000"/>
          <w:sz w:val="24"/>
          <w:szCs w:val="24"/>
          <w:lang w:eastAsia="hu-HU"/>
        </w:rPr>
      </w:pPr>
      <w:r w:rsidRPr="00CC3E4A">
        <w:rPr>
          <w:rFonts w:ascii="Times New Roman" w:hAnsi="Times New Roman"/>
          <w:color w:val="000000"/>
          <w:sz w:val="24"/>
          <w:szCs w:val="24"/>
          <w:lang w:eastAsia="hu-HU"/>
        </w:rPr>
        <w:t>A Megállapodások magyar nyelvű szövege a következő:</w:t>
      </w:r>
    </w:p>
    <w:p w:rsidR="00CC3E4A" w:rsidRPr="00CC3E4A" w:rsidRDefault="00CC3E4A" w:rsidP="00CC3E4A">
      <w:pPr>
        <w:autoSpaceDE w:val="0"/>
        <w:autoSpaceDN w:val="0"/>
        <w:adjustRightInd w:val="0"/>
        <w:spacing w:after="0" w:line="360" w:lineRule="auto"/>
        <w:rPr>
          <w:rFonts w:ascii="Times New Roman" w:eastAsia="Times New Roman" w:hAnsi="Times New Roman"/>
          <w:b/>
          <w:bCs/>
          <w:iCs/>
          <w:sz w:val="24"/>
          <w:szCs w:val="28"/>
          <w:lang w:eastAsia="hu-HU"/>
        </w:rPr>
      </w:pPr>
      <w:r w:rsidRPr="00CC3E4A">
        <w:rPr>
          <w:rFonts w:ascii="Myriad Pro" w:hAnsi="Myriad Pro"/>
          <w:sz w:val="24"/>
          <w:szCs w:val="24"/>
          <w:lang w:eastAsia="hu-HU"/>
        </w:rPr>
        <w:t>„</w:t>
      </w:r>
      <w:r w:rsidRPr="00CC3E4A">
        <w:rPr>
          <w:rFonts w:ascii="Times New Roman" w:eastAsia="Times New Roman" w:hAnsi="Times New Roman"/>
          <w:b/>
          <w:bCs/>
          <w:iCs/>
          <w:sz w:val="24"/>
          <w:szCs w:val="28"/>
          <w:lang w:eastAsia="hu-HU"/>
        </w:rPr>
        <w:t>M338</w:t>
      </w:r>
      <w:r w:rsidR="00E669C9">
        <w:rPr>
          <w:rFonts w:ascii="Times New Roman" w:eastAsia="Times New Roman" w:hAnsi="Times New Roman"/>
          <w:b/>
          <w:bCs/>
          <w:iCs/>
          <w:sz w:val="24"/>
          <w:szCs w:val="28"/>
          <w:lang w:eastAsia="hu-HU"/>
        </w:rPr>
        <w:t xml:space="preserve"> </w:t>
      </w:r>
      <w:r w:rsidRPr="00CC3E4A">
        <w:rPr>
          <w:rFonts w:ascii="Times New Roman" w:eastAsia="Times New Roman" w:hAnsi="Times New Roman"/>
          <w:b/>
          <w:bCs/>
          <w:iCs/>
          <w:sz w:val="24"/>
          <w:szCs w:val="28"/>
          <w:lang w:eastAsia="hu-HU"/>
        </w:rPr>
        <w:t>Multilaterális Megállapodás</w:t>
      </w:r>
      <w:r>
        <w:rPr>
          <w:rFonts w:ascii="Times New Roman" w:eastAsia="Times New Roman" w:hAnsi="Times New Roman"/>
          <w:b/>
          <w:bCs/>
          <w:iCs/>
          <w:sz w:val="24"/>
          <w:szCs w:val="28"/>
          <w:lang w:eastAsia="hu-HU"/>
        </w:rPr>
        <w:t xml:space="preserve"> </w:t>
      </w:r>
      <w:r w:rsidRPr="00CC3E4A">
        <w:rPr>
          <w:rFonts w:ascii="Times New Roman" w:eastAsia="Times New Roman" w:hAnsi="Times New Roman"/>
          <w:b/>
          <w:bCs/>
          <w:iCs/>
          <w:sz w:val="24"/>
          <w:szCs w:val="28"/>
          <w:lang w:eastAsia="hu-HU"/>
        </w:rPr>
        <w:t xml:space="preserve">az ADR 1.5.1 szakasza </w:t>
      </w:r>
      <w:proofErr w:type="spellStart"/>
      <w:r w:rsidRPr="00CC3E4A">
        <w:rPr>
          <w:rFonts w:ascii="Times New Roman" w:eastAsia="Times New Roman" w:hAnsi="Times New Roman"/>
          <w:b/>
          <w:bCs/>
          <w:iCs/>
          <w:sz w:val="24"/>
          <w:szCs w:val="28"/>
          <w:lang w:eastAsia="hu-HU"/>
        </w:rPr>
        <w:t>alapjána</w:t>
      </w:r>
      <w:proofErr w:type="spellEnd"/>
      <w:r w:rsidRPr="00CC3E4A">
        <w:rPr>
          <w:rFonts w:ascii="Times New Roman" w:eastAsia="Times New Roman" w:hAnsi="Times New Roman"/>
          <w:b/>
          <w:bCs/>
          <w:iCs/>
          <w:sz w:val="24"/>
          <w:szCs w:val="28"/>
          <w:lang w:eastAsia="hu-HU"/>
        </w:rPr>
        <w:t xml:space="preserve"> 2-es osztály BUTADIÉNEK ÉS SZÉNHIDROGÉN KEVERÉKE, STABILIZÁLT szállításával kapcsolatban</w:t>
      </w:r>
    </w:p>
    <w:p w:rsidR="00CC3E4A" w:rsidRPr="00CC3E4A" w:rsidRDefault="00CC3E4A" w:rsidP="00CC3E4A">
      <w:pPr>
        <w:numPr>
          <w:ilvl w:val="0"/>
          <w:numId w:val="16"/>
        </w:numPr>
        <w:autoSpaceDE w:val="0"/>
        <w:autoSpaceDN w:val="0"/>
        <w:adjustRightInd w:val="0"/>
        <w:spacing w:after="0" w:line="360" w:lineRule="auto"/>
        <w:ind w:hanging="720"/>
        <w:rPr>
          <w:rFonts w:ascii="Times New Roman" w:hAnsi="Times New Roman"/>
          <w:color w:val="000000"/>
          <w:sz w:val="24"/>
          <w:szCs w:val="24"/>
          <w:lang w:eastAsia="hu-HU"/>
        </w:rPr>
      </w:pPr>
      <w:proofErr w:type="gramStart"/>
      <w:r w:rsidRPr="00CC3E4A">
        <w:rPr>
          <w:rFonts w:ascii="Times New Roman" w:hAnsi="Times New Roman"/>
          <w:color w:val="000000"/>
          <w:sz w:val="24"/>
          <w:szCs w:val="24"/>
          <w:lang w:eastAsia="hu-HU"/>
        </w:rPr>
        <w:t xml:space="preserve">A 2.2.2.3 bekezdés és a 3.2 fejezet „A” táblázat előírásaitól eltérően, az UN 1010 BUTADIÉNEK ÉS SZÉNHIDROGÉN KEVERÉKE, STABILIZÁLT tétel alatt szállíthatóak azok a butadiének és szénhidrogén stabilizált keverékek, melyek butadién koncentrációja legalább 20%, de nem több mint 40%, gőznyomása 70 </w:t>
      </w:r>
      <w:proofErr w:type="spellStart"/>
      <w:r w:rsidRPr="00CC3E4A">
        <w:rPr>
          <w:rFonts w:ascii="Times New Roman" w:hAnsi="Times New Roman"/>
          <w:color w:val="000000"/>
          <w:sz w:val="24"/>
          <w:szCs w:val="24"/>
          <w:lang w:eastAsia="hu-HU"/>
        </w:rPr>
        <w:t>°C-on</w:t>
      </w:r>
      <w:proofErr w:type="spellEnd"/>
      <w:r w:rsidRPr="00CC3E4A">
        <w:rPr>
          <w:rFonts w:ascii="Times New Roman" w:hAnsi="Times New Roman"/>
          <w:color w:val="000000"/>
          <w:sz w:val="24"/>
          <w:szCs w:val="24"/>
          <w:lang w:eastAsia="hu-HU"/>
        </w:rPr>
        <w:t xml:space="preserve"> nem haladja meg az 1,</w:t>
      </w:r>
      <w:proofErr w:type="spellStart"/>
      <w:r w:rsidRPr="00CC3E4A">
        <w:rPr>
          <w:rFonts w:ascii="Times New Roman" w:hAnsi="Times New Roman"/>
          <w:color w:val="000000"/>
          <w:sz w:val="24"/>
          <w:szCs w:val="24"/>
          <w:lang w:eastAsia="hu-HU"/>
        </w:rPr>
        <w:t>1</w:t>
      </w:r>
      <w:proofErr w:type="spellEnd"/>
      <w:r w:rsidRPr="00CC3E4A">
        <w:rPr>
          <w:rFonts w:ascii="Times New Roman" w:hAnsi="Times New Roman"/>
          <w:color w:val="000000"/>
          <w:sz w:val="24"/>
          <w:szCs w:val="24"/>
          <w:lang w:eastAsia="hu-HU"/>
        </w:rPr>
        <w:t xml:space="preserve"> </w:t>
      </w:r>
      <w:proofErr w:type="spellStart"/>
      <w:r w:rsidRPr="00CC3E4A">
        <w:rPr>
          <w:rFonts w:ascii="Times New Roman" w:hAnsi="Times New Roman"/>
          <w:color w:val="000000"/>
          <w:sz w:val="24"/>
          <w:szCs w:val="24"/>
          <w:lang w:eastAsia="hu-HU"/>
        </w:rPr>
        <w:t>MPa-t</w:t>
      </w:r>
      <w:proofErr w:type="spellEnd"/>
      <w:r w:rsidRPr="00CC3E4A">
        <w:rPr>
          <w:rFonts w:ascii="Times New Roman" w:hAnsi="Times New Roman"/>
          <w:color w:val="000000"/>
          <w:sz w:val="24"/>
          <w:szCs w:val="24"/>
          <w:lang w:eastAsia="hu-HU"/>
        </w:rPr>
        <w:t xml:space="preserve"> (11 bar-t) és sűrűsége 50 </w:t>
      </w:r>
      <w:proofErr w:type="spellStart"/>
      <w:r w:rsidRPr="00CC3E4A">
        <w:rPr>
          <w:rFonts w:ascii="Times New Roman" w:hAnsi="Times New Roman"/>
          <w:color w:val="000000"/>
          <w:sz w:val="24"/>
          <w:szCs w:val="24"/>
          <w:lang w:eastAsia="hu-HU"/>
        </w:rPr>
        <w:t>°C-on</w:t>
      </w:r>
      <w:proofErr w:type="spellEnd"/>
      <w:r w:rsidRPr="00CC3E4A">
        <w:rPr>
          <w:rFonts w:ascii="Times New Roman" w:hAnsi="Times New Roman"/>
          <w:color w:val="000000"/>
          <w:sz w:val="24"/>
          <w:szCs w:val="24"/>
          <w:lang w:eastAsia="hu-HU"/>
        </w:rPr>
        <w:t xml:space="preserve"> legalább 0,525 kg/l.</w:t>
      </w:r>
      <w:proofErr w:type="gramEnd"/>
    </w:p>
    <w:p w:rsidR="00CC3E4A" w:rsidRPr="00CC3E4A" w:rsidRDefault="00CC3E4A" w:rsidP="00CC3E4A">
      <w:pPr>
        <w:numPr>
          <w:ilvl w:val="0"/>
          <w:numId w:val="16"/>
        </w:numPr>
        <w:autoSpaceDE w:val="0"/>
        <w:autoSpaceDN w:val="0"/>
        <w:adjustRightInd w:val="0"/>
        <w:spacing w:after="0" w:line="360" w:lineRule="auto"/>
        <w:ind w:hanging="720"/>
        <w:rPr>
          <w:rFonts w:ascii="Times New Roman" w:hAnsi="Times New Roman"/>
          <w:color w:val="000000"/>
          <w:sz w:val="24"/>
          <w:szCs w:val="24"/>
          <w:lang w:eastAsia="hu-HU"/>
        </w:rPr>
      </w:pPr>
      <w:r w:rsidRPr="00CC3E4A">
        <w:rPr>
          <w:rFonts w:ascii="Times New Roman" w:hAnsi="Times New Roman"/>
          <w:color w:val="000000"/>
          <w:sz w:val="24"/>
          <w:szCs w:val="24"/>
          <w:lang w:eastAsia="hu-HU"/>
        </w:rPr>
        <w:t>A feladónak a fuvarokmányba a következőt kell bejegyeznie: „Az ADR 1.5.1 szakasza alapján megkötött M338 megállapodás szerinti szállítás.”</w:t>
      </w:r>
    </w:p>
    <w:p w:rsidR="00CC3E4A" w:rsidRDefault="00CC3E4A" w:rsidP="00CC3E4A">
      <w:pPr>
        <w:numPr>
          <w:ilvl w:val="0"/>
          <w:numId w:val="16"/>
        </w:numPr>
        <w:autoSpaceDE w:val="0"/>
        <w:autoSpaceDN w:val="0"/>
        <w:adjustRightInd w:val="0"/>
        <w:spacing w:after="0" w:line="360" w:lineRule="auto"/>
        <w:ind w:hanging="720"/>
        <w:rPr>
          <w:rFonts w:ascii="Times New Roman" w:hAnsi="Times New Roman"/>
          <w:color w:val="000000"/>
          <w:sz w:val="24"/>
          <w:szCs w:val="24"/>
          <w:lang w:eastAsia="hu-HU"/>
        </w:rPr>
      </w:pPr>
      <w:r w:rsidRPr="00CC3E4A">
        <w:rPr>
          <w:rFonts w:ascii="Times New Roman" w:hAnsi="Times New Roman"/>
          <w:color w:val="000000"/>
          <w:sz w:val="24"/>
          <w:szCs w:val="24"/>
          <w:lang w:eastAsia="hu-HU"/>
        </w:rPr>
        <w:t>Ez a multilaterális megállapodás 2025. június 30-ig alkalmazható azon ADR Szerződő Felek területén történő szállításokra, amelyek aláírták e Megállapodást. Ha valamely aláíró ezen időpont előtt visszavonja, akkor az említett időpontig csak azon ADR Szerződő Felek területén történő szállításokra érvényes, amelyek nem vonták vissza.</w:t>
      </w:r>
    </w:p>
    <w:p w:rsidR="00CC3E4A" w:rsidRPr="00CC3E4A" w:rsidRDefault="00CC3E4A" w:rsidP="00172AFD">
      <w:pPr>
        <w:autoSpaceDE w:val="0"/>
        <w:autoSpaceDN w:val="0"/>
        <w:adjustRightInd w:val="0"/>
        <w:spacing w:before="240" w:after="0" w:line="360" w:lineRule="auto"/>
        <w:rPr>
          <w:rFonts w:ascii="Times New Roman" w:hAnsi="Times New Roman"/>
          <w:b/>
          <w:color w:val="000000"/>
          <w:sz w:val="24"/>
          <w:szCs w:val="24"/>
          <w:lang w:eastAsia="hu-HU"/>
        </w:rPr>
      </w:pPr>
      <w:r w:rsidRPr="00CC3E4A">
        <w:rPr>
          <w:rFonts w:ascii="Times New Roman" w:hAnsi="Times New Roman"/>
          <w:b/>
          <w:color w:val="000000"/>
          <w:sz w:val="24"/>
          <w:szCs w:val="24"/>
          <w:lang w:eastAsia="hu-HU"/>
        </w:rPr>
        <w:t>Multilaterális Megállapodás RID 4/2021</w:t>
      </w:r>
      <w:r w:rsidR="00EE3C89">
        <w:rPr>
          <w:rFonts w:ascii="Times New Roman" w:hAnsi="Times New Roman"/>
          <w:b/>
          <w:color w:val="000000"/>
          <w:sz w:val="24"/>
          <w:szCs w:val="24"/>
          <w:lang w:eastAsia="hu-HU"/>
        </w:rPr>
        <w:t xml:space="preserve"> </w:t>
      </w:r>
      <w:r w:rsidRPr="00CC3E4A">
        <w:rPr>
          <w:rFonts w:ascii="Times New Roman" w:hAnsi="Times New Roman"/>
          <w:b/>
          <w:color w:val="000000"/>
          <w:sz w:val="24"/>
          <w:szCs w:val="24"/>
          <w:lang w:eastAsia="hu-HU"/>
        </w:rPr>
        <w:t>a RID 1.5.1 szakasza alapján</w:t>
      </w:r>
      <w:r w:rsidR="00E669C9">
        <w:rPr>
          <w:rFonts w:ascii="Times New Roman" w:hAnsi="Times New Roman"/>
          <w:b/>
          <w:color w:val="000000"/>
          <w:sz w:val="24"/>
          <w:szCs w:val="24"/>
          <w:lang w:eastAsia="hu-HU"/>
        </w:rPr>
        <w:t xml:space="preserve"> </w:t>
      </w:r>
      <w:r w:rsidRPr="00CC3E4A">
        <w:rPr>
          <w:rFonts w:ascii="Times New Roman" w:hAnsi="Times New Roman"/>
          <w:b/>
          <w:color w:val="000000"/>
          <w:sz w:val="24"/>
          <w:szCs w:val="24"/>
          <w:lang w:eastAsia="hu-HU"/>
        </w:rPr>
        <w:t>a 2 osztályba sorolt BUTADIÉNEK ÉS SZÉNHIDROGÉN KEVERÉKE, STABILIZÁLT szállításával kapcsolatban</w:t>
      </w:r>
    </w:p>
    <w:p w:rsidR="00CC3E4A" w:rsidRPr="00CC3E4A" w:rsidRDefault="00CC3E4A" w:rsidP="00CC3E4A">
      <w:pPr>
        <w:numPr>
          <w:ilvl w:val="0"/>
          <w:numId w:val="17"/>
        </w:numPr>
        <w:autoSpaceDE w:val="0"/>
        <w:autoSpaceDN w:val="0"/>
        <w:adjustRightInd w:val="0"/>
        <w:spacing w:after="0" w:line="360" w:lineRule="auto"/>
        <w:ind w:hanging="720"/>
        <w:rPr>
          <w:rFonts w:ascii="Times New Roman" w:hAnsi="Times New Roman"/>
          <w:color w:val="000000"/>
          <w:sz w:val="24"/>
          <w:szCs w:val="24"/>
          <w:lang w:eastAsia="hu-HU"/>
        </w:rPr>
      </w:pPr>
      <w:proofErr w:type="gramStart"/>
      <w:r w:rsidRPr="00CC3E4A">
        <w:rPr>
          <w:rFonts w:ascii="Times New Roman" w:hAnsi="Times New Roman"/>
          <w:color w:val="000000"/>
          <w:sz w:val="24"/>
          <w:szCs w:val="24"/>
          <w:lang w:eastAsia="hu-HU"/>
        </w:rPr>
        <w:t xml:space="preserve">A 2.2.2.3 bekezdés és a 3.2 fejezet „A” táblázat előírásaitól eltérően, az UN 1010 BUTADIÉNEK ÉS SZÉNHIDROGÉN KEVERÉKE, STABILIZÁLT tétel alatt szállíthatóak azok a butadiének és szénhidrogén stabilizált keverékek, melyek butadién koncentrációja legalább 20%, de nem több mint 40%, gőznyomása 70 </w:t>
      </w:r>
      <w:proofErr w:type="spellStart"/>
      <w:r w:rsidRPr="00CC3E4A">
        <w:rPr>
          <w:rFonts w:ascii="Times New Roman" w:hAnsi="Times New Roman"/>
          <w:color w:val="000000"/>
          <w:sz w:val="24"/>
          <w:szCs w:val="24"/>
          <w:lang w:eastAsia="hu-HU"/>
        </w:rPr>
        <w:t>°C-on</w:t>
      </w:r>
      <w:proofErr w:type="spellEnd"/>
      <w:r w:rsidRPr="00CC3E4A">
        <w:rPr>
          <w:rFonts w:ascii="Times New Roman" w:hAnsi="Times New Roman"/>
          <w:color w:val="000000"/>
          <w:sz w:val="24"/>
          <w:szCs w:val="24"/>
          <w:lang w:eastAsia="hu-HU"/>
        </w:rPr>
        <w:t xml:space="preserve"> nem haladja meg az 1,</w:t>
      </w:r>
      <w:proofErr w:type="spellStart"/>
      <w:r w:rsidRPr="00CC3E4A">
        <w:rPr>
          <w:rFonts w:ascii="Times New Roman" w:hAnsi="Times New Roman"/>
          <w:color w:val="000000"/>
          <w:sz w:val="24"/>
          <w:szCs w:val="24"/>
          <w:lang w:eastAsia="hu-HU"/>
        </w:rPr>
        <w:t>1</w:t>
      </w:r>
      <w:proofErr w:type="spellEnd"/>
      <w:r w:rsidRPr="00CC3E4A">
        <w:rPr>
          <w:rFonts w:ascii="Times New Roman" w:hAnsi="Times New Roman"/>
          <w:color w:val="000000"/>
          <w:sz w:val="24"/>
          <w:szCs w:val="24"/>
          <w:lang w:eastAsia="hu-HU"/>
        </w:rPr>
        <w:t xml:space="preserve"> </w:t>
      </w:r>
      <w:proofErr w:type="spellStart"/>
      <w:r w:rsidRPr="00CC3E4A">
        <w:rPr>
          <w:rFonts w:ascii="Times New Roman" w:hAnsi="Times New Roman"/>
          <w:color w:val="000000"/>
          <w:sz w:val="24"/>
          <w:szCs w:val="24"/>
          <w:lang w:eastAsia="hu-HU"/>
        </w:rPr>
        <w:t>MPa-t</w:t>
      </w:r>
      <w:proofErr w:type="spellEnd"/>
      <w:r w:rsidRPr="00CC3E4A">
        <w:rPr>
          <w:rFonts w:ascii="Times New Roman" w:hAnsi="Times New Roman"/>
          <w:color w:val="000000"/>
          <w:sz w:val="24"/>
          <w:szCs w:val="24"/>
          <w:lang w:eastAsia="hu-HU"/>
        </w:rPr>
        <w:t xml:space="preserve"> (11 bar-t) és sűrűsége 50 </w:t>
      </w:r>
      <w:proofErr w:type="spellStart"/>
      <w:r w:rsidRPr="00CC3E4A">
        <w:rPr>
          <w:rFonts w:ascii="Times New Roman" w:hAnsi="Times New Roman"/>
          <w:color w:val="000000"/>
          <w:sz w:val="24"/>
          <w:szCs w:val="24"/>
          <w:lang w:eastAsia="hu-HU"/>
        </w:rPr>
        <w:t>°C-on</w:t>
      </w:r>
      <w:proofErr w:type="spellEnd"/>
      <w:r w:rsidRPr="00CC3E4A">
        <w:rPr>
          <w:rFonts w:ascii="Times New Roman" w:hAnsi="Times New Roman"/>
          <w:color w:val="000000"/>
          <w:sz w:val="24"/>
          <w:szCs w:val="24"/>
          <w:lang w:eastAsia="hu-HU"/>
        </w:rPr>
        <w:t xml:space="preserve"> legalább 0,525 kg/l.</w:t>
      </w:r>
      <w:proofErr w:type="gramEnd"/>
    </w:p>
    <w:p w:rsidR="00CC3E4A" w:rsidRPr="00CC3E4A" w:rsidRDefault="00CC3E4A" w:rsidP="00CC3E4A">
      <w:pPr>
        <w:numPr>
          <w:ilvl w:val="0"/>
          <w:numId w:val="17"/>
        </w:numPr>
        <w:autoSpaceDE w:val="0"/>
        <w:autoSpaceDN w:val="0"/>
        <w:adjustRightInd w:val="0"/>
        <w:spacing w:after="0" w:line="360" w:lineRule="auto"/>
        <w:ind w:hanging="720"/>
        <w:rPr>
          <w:rFonts w:ascii="Times New Roman" w:hAnsi="Times New Roman"/>
          <w:color w:val="000000"/>
          <w:sz w:val="24"/>
          <w:szCs w:val="24"/>
          <w:lang w:eastAsia="hu-HU"/>
        </w:rPr>
      </w:pPr>
      <w:r w:rsidRPr="00CC3E4A">
        <w:rPr>
          <w:rFonts w:ascii="Times New Roman" w:hAnsi="Times New Roman"/>
          <w:color w:val="000000"/>
          <w:sz w:val="24"/>
          <w:szCs w:val="24"/>
          <w:lang w:eastAsia="hu-HU"/>
        </w:rPr>
        <w:t>A feladónak a fuvarokmányba a következőt kell bejegyeznie: „A RID 1.5.1 szakasza alapján megkötött RID 4/2021 megállapodás szerinti szállítás.”</w:t>
      </w:r>
    </w:p>
    <w:p w:rsidR="00CC3E4A" w:rsidRDefault="00CC3E4A" w:rsidP="00CC3E4A">
      <w:pPr>
        <w:numPr>
          <w:ilvl w:val="0"/>
          <w:numId w:val="17"/>
        </w:numPr>
        <w:autoSpaceDE w:val="0"/>
        <w:autoSpaceDN w:val="0"/>
        <w:adjustRightInd w:val="0"/>
        <w:spacing w:after="0" w:line="360" w:lineRule="auto"/>
        <w:ind w:hanging="720"/>
        <w:rPr>
          <w:rFonts w:ascii="Times New Roman" w:hAnsi="Times New Roman"/>
          <w:color w:val="000000"/>
          <w:sz w:val="24"/>
          <w:szCs w:val="24"/>
          <w:lang w:eastAsia="hu-HU"/>
        </w:rPr>
      </w:pPr>
      <w:r w:rsidRPr="00CC3E4A">
        <w:rPr>
          <w:rFonts w:ascii="Times New Roman" w:hAnsi="Times New Roman"/>
          <w:color w:val="000000"/>
          <w:sz w:val="24"/>
          <w:szCs w:val="24"/>
          <w:lang w:eastAsia="hu-HU"/>
        </w:rPr>
        <w:t>Ez a megállapodás 2025. június 30-ig alkalmazható azon RID Szerződő Államok területén történő szállításokra, amelyek aláírták e megállapodást. Ha valamely aláíró ezen időpont előtt visszavonja, akkor az említett időpontig csak azon RID Szerződő Államok területén történő szállításokra érvényes, amelyek nem vonták vissza.</w:t>
      </w:r>
      <w:r>
        <w:rPr>
          <w:rFonts w:ascii="Times New Roman" w:hAnsi="Times New Roman"/>
          <w:color w:val="000000"/>
          <w:sz w:val="24"/>
          <w:szCs w:val="24"/>
          <w:lang w:eastAsia="hu-HU"/>
        </w:rPr>
        <w:t>”</w:t>
      </w:r>
    </w:p>
    <w:p w:rsidR="00AF3F16" w:rsidRPr="00426903" w:rsidRDefault="00AF3F16" w:rsidP="00F33A97">
      <w:pPr>
        <w:autoSpaceDE w:val="0"/>
        <w:autoSpaceDN w:val="0"/>
        <w:adjustRightInd w:val="0"/>
        <w:spacing w:before="360" w:after="0" w:line="360" w:lineRule="auto"/>
        <w:rPr>
          <w:rFonts w:ascii="Times New Roman" w:hAnsi="Times New Roman"/>
          <w:color w:val="000000"/>
          <w:sz w:val="24"/>
          <w:szCs w:val="24"/>
          <w:lang w:eastAsia="hu-HU"/>
        </w:rPr>
      </w:pPr>
      <w:r w:rsidRPr="00426903">
        <w:rPr>
          <w:rFonts w:ascii="Times New Roman" w:hAnsi="Times New Roman"/>
          <w:color w:val="000000"/>
          <w:sz w:val="24"/>
          <w:szCs w:val="24"/>
          <w:lang w:eastAsia="hu-HU"/>
        </w:rPr>
        <w:t xml:space="preserve">A multilaterális megállapodást aláíró szerződő felek felsorolása a következő linken érhető el: </w:t>
      </w:r>
    </w:p>
    <w:p w:rsidR="00172AFD" w:rsidRDefault="006400FD" w:rsidP="00172AFD">
      <w:pPr>
        <w:spacing w:line="360" w:lineRule="auto"/>
        <w:rPr>
          <w:rFonts w:ascii="Times New Roman" w:hAnsi="Times New Roman"/>
          <w:color w:val="0563C1"/>
          <w:sz w:val="24"/>
          <w:szCs w:val="24"/>
        </w:rPr>
      </w:pPr>
      <w:hyperlink r:id="rId9" w:history="1">
        <w:r w:rsidR="00AF3F16" w:rsidRPr="00060DEC">
          <w:rPr>
            <w:rFonts w:ascii="Times New Roman" w:hAnsi="Times New Roman"/>
            <w:color w:val="0563C1"/>
            <w:sz w:val="24"/>
            <w:szCs w:val="24"/>
          </w:rPr>
          <w:t>http://www.unece.org/trans/danger/multi/multi.html</w:t>
        </w:r>
      </w:hyperlink>
    </w:p>
    <w:p w:rsidR="00AF3F16" w:rsidRDefault="00AF3F16" w:rsidP="00060DEC">
      <w:pPr>
        <w:pStyle w:val="Cmsor2"/>
      </w:pPr>
      <w:r w:rsidRPr="008F2653">
        <w:t>Záradék</w:t>
      </w:r>
    </w:p>
    <w:p w:rsidR="00AF3F16" w:rsidRPr="008F2653" w:rsidRDefault="00AF3F16" w:rsidP="00060DEC">
      <w:pPr>
        <w:spacing w:line="360" w:lineRule="auto"/>
        <w:rPr>
          <w:rFonts w:ascii="Times New Roman" w:hAnsi="Times New Roman"/>
          <w:sz w:val="24"/>
          <w:szCs w:val="24"/>
        </w:rPr>
      </w:pPr>
      <w:r w:rsidRPr="008F2653">
        <w:rPr>
          <w:rFonts w:ascii="Times New Roman" w:hAnsi="Times New Roman"/>
          <w:sz w:val="24"/>
          <w:szCs w:val="24"/>
        </w:rPr>
        <w:t>A tájékoztatóban foglaltak – a 60/1992. (XI. 17.) AB határozat értelmében – nem tekinthetők jogi iránymutatásnak, állásfoglalásnak, így kötelező erővel nem bírnak. Az Alkotmánybíróság határozata szerint „a központi állami szervektől származó jogi iránymutatást tartalmazó állásfoglalásokhoz joghatás nem fűződik, azoknak kötelező ereje nincs. A különböző jogi iránymutatást tartalmazó leiratok, iránymutatások, állásfoglalások és egyéb informális jogértelmezések kiadása, és az ezekkel való irányítás gyakorlata alkotmányellenes”.</w:t>
      </w:r>
    </w:p>
    <w:p w:rsidR="00AF3F16" w:rsidRDefault="00AF3F16" w:rsidP="00060DEC">
      <w:pPr>
        <w:spacing w:line="360" w:lineRule="auto"/>
        <w:rPr>
          <w:rFonts w:ascii="Times New Roman" w:hAnsi="Times New Roman"/>
          <w:sz w:val="24"/>
          <w:szCs w:val="24"/>
        </w:rPr>
      </w:pPr>
      <w:r w:rsidRPr="008F2653">
        <w:rPr>
          <w:rFonts w:ascii="Times New Roman" w:hAnsi="Times New Roman"/>
          <w:sz w:val="24"/>
          <w:szCs w:val="24"/>
        </w:rPr>
        <w:t>A tájékoztatót a BM OKF Hatósági Főigazgató-helyettesi Szervezete a jogszabályban foglalt követelmények teljesítésének elősegítése érdekében adta ki, melyeket minden esetben az egyedi ügyre vonatkozóan kell megfelelően alkalmazni.</w:t>
      </w:r>
    </w:p>
    <w:sectPr w:rsidR="00AF3F16" w:rsidSect="000E2431">
      <w:headerReference w:type="default" r:id="rId10"/>
      <w:footerReference w:type="default" r:id="rId11"/>
      <w:headerReference w:type="first" r:id="rId12"/>
      <w:pgSz w:w="11906" w:h="16838"/>
      <w:pgMar w:top="1276"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095" w:rsidRDefault="003F5095" w:rsidP="003F629D">
      <w:pPr>
        <w:spacing w:after="0" w:line="240" w:lineRule="auto"/>
      </w:pPr>
      <w:r>
        <w:separator/>
      </w:r>
    </w:p>
  </w:endnote>
  <w:endnote w:type="continuationSeparator" w:id="0">
    <w:p w:rsidR="003F5095" w:rsidRDefault="003F5095" w:rsidP="003F6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585022"/>
      <w:docPartObj>
        <w:docPartGallery w:val="Page Numbers (Bottom of Page)"/>
        <w:docPartUnique/>
      </w:docPartObj>
    </w:sdtPr>
    <w:sdtEndPr>
      <w:rPr>
        <w:rFonts w:ascii="Times New Roman" w:hAnsi="Times New Roman"/>
        <w:sz w:val="24"/>
      </w:rPr>
    </w:sdtEndPr>
    <w:sdtContent>
      <w:p w:rsidR="001436D4" w:rsidRPr="001436D4" w:rsidRDefault="001436D4" w:rsidP="001436D4">
        <w:pPr>
          <w:pStyle w:val="llb"/>
          <w:jc w:val="center"/>
          <w:rPr>
            <w:rFonts w:ascii="Times New Roman" w:hAnsi="Times New Roman"/>
            <w:sz w:val="24"/>
          </w:rPr>
        </w:pPr>
        <w:r w:rsidRPr="001436D4">
          <w:rPr>
            <w:rFonts w:ascii="Times New Roman" w:hAnsi="Times New Roman"/>
            <w:sz w:val="24"/>
          </w:rPr>
          <w:fldChar w:fldCharType="begin"/>
        </w:r>
        <w:r w:rsidRPr="001436D4">
          <w:rPr>
            <w:rFonts w:ascii="Times New Roman" w:hAnsi="Times New Roman"/>
            <w:sz w:val="24"/>
          </w:rPr>
          <w:instrText>PAGE   \* MERGEFORMAT</w:instrText>
        </w:r>
        <w:r w:rsidRPr="001436D4">
          <w:rPr>
            <w:rFonts w:ascii="Times New Roman" w:hAnsi="Times New Roman"/>
            <w:sz w:val="24"/>
          </w:rPr>
          <w:fldChar w:fldCharType="separate"/>
        </w:r>
        <w:r w:rsidR="006400FD">
          <w:rPr>
            <w:rFonts w:ascii="Times New Roman" w:hAnsi="Times New Roman"/>
            <w:noProof/>
            <w:sz w:val="24"/>
          </w:rPr>
          <w:t>2</w:t>
        </w:r>
        <w:r w:rsidRPr="001436D4">
          <w:rPr>
            <w:rFonts w:ascii="Times New Roman" w:hAnsi="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095" w:rsidRDefault="003F5095" w:rsidP="003F629D">
      <w:pPr>
        <w:spacing w:after="0" w:line="240" w:lineRule="auto"/>
      </w:pPr>
      <w:r>
        <w:separator/>
      </w:r>
    </w:p>
  </w:footnote>
  <w:footnote w:type="continuationSeparator" w:id="0">
    <w:p w:rsidR="003F5095" w:rsidRDefault="003F5095" w:rsidP="003F62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6D4" w:rsidRPr="001436D4" w:rsidRDefault="006400FD" w:rsidP="001436D4">
    <w:pPr>
      <w:pStyle w:val="lfej"/>
      <w:jc w:val="right"/>
      <w:rPr>
        <w:rFonts w:ascii="Times New Roman" w:hAnsi="Times New Roman"/>
        <w:sz w:val="24"/>
      </w:rPr>
    </w:pPr>
    <w:r>
      <w:rPr>
        <w:rFonts w:ascii="Times New Roman" w:hAnsi="Times New Roman"/>
        <w:sz w:val="24"/>
      </w:rPr>
      <w:t>12</w:t>
    </w:r>
    <w:r w:rsidR="001436D4" w:rsidRPr="001436D4">
      <w:rPr>
        <w:rFonts w:ascii="Times New Roman" w:hAnsi="Times New Roman"/>
        <w:sz w:val="24"/>
      </w:rPr>
      <w:t>. melléklet</w:t>
    </w:r>
  </w:p>
  <w:p w:rsidR="001436D4" w:rsidRDefault="001436D4" w:rsidP="001436D4">
    <w:pPr>
      <w:pStyle w:val="lfej"/>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6D4" w:rsidRPr="001436D4" w:rsidRDefault="006400FD" w:rsidP="001436D4">
    <w:pPr>
      <w:pStyle w:val="lfej"/>
      <w:jc w:val="right"/>
      <w:rPr>
        <w:rFonts w:ascii="Times New Roman" w:hAnsi="Times New Roman"/>
        <w:sz w:val="24"/>
      </w:rPr>
    </w:pPr>
    <w:r>
      <w:rPr>
        <w:rFonts w:ascii="Times New Roman" w:hAnsi="Times New Roman"/>
        <w:sz w:val="24"/>
      </w:rPr>
      <w:t>12</w:t>
    </w:r>
    <w:r w:rsidR="001436D4" w:rsidRPr="001436D4">
      <w:rPr>
        <w:rFonts w:ascii="Times New Roman" w:hAnsi="Times New Roman"/>
        <w:sz w:val="24"/>
      </w:rPr>
      <w:t>. melléklet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1725"/>
    <w:multiLevelType w:val="hybridMultilevel"/>
    <w:tmpl w:val="2F94AE5C"/>
    <w:lvl w:ilvl="0" w:tplc="2EEA33D0">
      <w:start w:val="1"/>
      <w:numFmt w:val="decimal"/>
      <w:lvlText w:val="%1.)"/>
      <w:lvlJc w:val="left"/>
      <w:pPr>
        <w:ind w:left="405" w:hanging="4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C2F0983"/>
    <w:multiLevelType w:val="hybridMultilevel"/>
    <w:tmpl w:val="3DAAF6BC"/>
    <w:lvl w:ilvl="0" w:tplc="9394078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76E7FF9"/>
    <w:multiLevelType w:val="hybridMultilevel"/>
    <w:tmpl w:val="68201E7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2275B84"/>
    <w:multiLevelType w:val="hybridMultilevel"/>
    <w:tmpl w:val="371471AC"/>
    <w:lvl w:ilvl="0" w:tplc="7EC27EA6">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5A72A63"/>
    <w:multiLevelType w:val="hybridMultilevel"/>
    <w:tmpl w:val="05D88A32"/>
    <w:lvl w:ilvl="0" w:tplc="44BC713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A8A3691"/>
    <w:multiLevelType w:val="hybridMultilevel"/>
    <w:tmpl w:val="523C3BCA"/>
    <w:lvl w:ilvl="0" w:tplc="AAACF4F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00027CD"/>
    <w:multiLevelType w:val="hybridMultilevel"/>
    <w:tmpl w:val="165899B8"/>
    <w:lvl w:ilvl="0" w:tplc="064A855C">
      <w:start w:val="1"/>
      <w:numFmt w:val="decimal"/>
      <w:lvlText w:val="(%1)"/>
      <w:lvlJc w:val="left"/>
      <w:pPr>
        <w:ind w:left="720" w:hanging="36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A173FE9"/>
    <w:multiLevelType w:val="hybridMultilevel"/>
    <w:tmpl w:val="FA9829C2"/>
    <w:lvl w:ilvl="0" w:tplc="B3B6CBA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FF84C2E"/>
    <w:multiLevelType w:val="hybridMultilevel"/>
    <w:tmpl w:val="165899B8"/>
    <w:lvl w:ilvl="0" w:tplc="064A855C">
      <w:start w:val="1"/>
      <w:numFmt w:val="decimal"/>
      <w:lvlText w:val="(%1)"/>
      <w:lvlJc w:val="left"/>
      <w:pPr>
        <w:ind w:left="720" w:hanging="36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06F355B"/>
    <w:multiLevelType w:val="hybridMultilevel"/>
    <w:tmpl w:val="258278C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16033C3"/>
    <w:multiLevelType w:val="hybridMultilevel"/>
    <w:tmpl w:val="883CF4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A777E71"/>
    <w:multiLevelType w:val="hybridMultilevel"/>
    <w:tmpl w:val="73447628"/>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96F468F"/>
    <w:multiLevelType w:val="hybridMultilevel"/>
    <w:tmpl w:val="9E324A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0736106"/>
    <w:multiLevelType w:val="hybridMultilevel"/>
    <w:tmpl w:val="006449A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7241268"/>
    <w:multiLevelType w:val="hybridMultilevel"/>
    <w:tmpl w:val="688429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73E4B1E"/>
    <w:multiLevelType w:val="hybridMultilevel"/>
    <w:tmpl w:val="06D6806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DF870B3"/>
    <w:multiLevelType w:val="hybridMultilevel"/>
    <w:tmpl w:val="EC7ACC42"/>
    <w:lvl w:ilvl="0" w:tplc="79B6B91A">
      <w:start w:val="1"/>
      <w:numFmt w:val="lowerLetter"/>
      <w:lvlText w:val="%1)"/>
      <w:lvlJc w:val="left"/>
      <w:pPr>
        <w:ind w:left="720" w:hanging="360"/>
      </w:pPr>
      <w:rPr>
        <w:rFonts w:ascii="Times New Roman" w:eastAsia="Calibri" w:hAnsi="Times New Roman" w:cs="Calibr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6"/>
  </w:num>
  <w:num w:numId="2">
    <w:abstractNumId w:val="15"/>
  </w:num>
  <w:num w:numId="3">
    <w:abstractNumId w:val="10"/>
  </w:num>
  <w:num w:numId="4">
    <w:abstractNumId w:val="1"/>
  </w:num>
  <w:num w:numId="5">
    <w:abstractNumId w:val="0"/>
  </w:num>
  <w:num w:numId="6">
    <w:abstractNumId w:val="13"/>
  </w:num>
  <w:num w:numId="7">
    <w:abstractNumId w:val="14"/>
  </w:num>
  <w:num w:numId="8">
    <w:abstractNumId w:val="9"/>
  </w:num>
  <w:num w:numId="9">
    <w:abstractNumId w:val="3"/>
  </w:num>
  <w:num w:numId="10">
    <w:abstractNumId w:val="12"/>
  </w:num>
  <w:num w:numId="11">
    <w:abstractNumId w:val="2"/>
  </w:num>
  <w:num w:numId="12">
    <w:abstractNumId w:val="4"/>
  </w:num>
  <w:num w:numId="13">
    <w:abstractNumId w:val="6"/>
  </w:num>
  <w:num w:numId="14">
    <w:abstractNumId w:val="8"/>
  </w:num>
  <w:num w:numId="15">
    <w:abstractNumId w:val="11"/>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5B"/>
    <w:rsid w:val="00034F86"/>
    <w:rsid w:val="00041719"/>
    <w:rsid w:val="00041C79"/>
    <w:rsid w:val="000511E2"/>
    <w:rsid w:val="00060DEC"/>
    <w:rsid w:val="00081A60"/>
    <w:rsid w:val="000875AC"/>
    <w:rsid w:val="00090DB9"/>
    <w:rsid w:val="000A10C8"/>
    <w:rsid w:val="000B4865"/>
    <w:rsid w:val="000C49E7"/>
    <w:rsid w:val="000E2431"/>
    <w:rsid w:val="000F5B08"/>
    <w:rsid w:val="001057D4"/>
    <w:rsid w:val="00113832"/>
    <w:rsid w:val="00117076"/>
    <w:rsid w:val="001436D4"/>
    <w:rsid w:val="00172AFD"/>
    <w:rsid w:val="001816D9"/>
    <w:rsid w:val="001B4A98"/>
    <w:rsid w:val="00223D9F"/>
    <w:rsid w:val="00225B91"/>
    <w:rsid w:val="002609A8"/>
    <w:rsid w:val="002A0688"/>
    <w:rsid w:val="0034711B"/>
    <w:rsid w:val="00357440"/>
    <w:rsid w:val="00371C69"/>
    <w:rsid w:val="0038682B"/>
    <w:rsid w:val="003F5095"/>
    <w:rsid w:val="003F629D"/>
    <w:rsid w:val="00406AF9"/>
    <w:rsid w:val="0040742E"/>
    <w:rsid w:val="00465F5D"/>
    <w:rsid w:val="004E17F7"/>
    <w:rsid w:val="004E627B"/>
    <w:rsid w:val="005267F5"/>
    <w:rsid w:val="00532203"/>
    <w:rsid w:val="00536574"/>
    <w:rsid w:val="005446C4"/>
    <w:rsid w:val="00586C1B"/>
    <w:rsid w:val="005C2160"/>
    <w:rsid w:val="00606964"/>
    <w:rsid w:val="00621D70"/>
    <w:rsid w:val="006400FD"/>
    <w:rsid w:val="00641D3A"/>
    <w:rsid w:val="006D46F8"/>
    <w:rsid w:val="006D6282"/>
    <w:rsid w:val="00703305"/>
    <w:rsid w:val="0073062C"/>
    <w:rsid w:val="00742C94"/>
    <w:rsid w:val="00750D83"/>
    <w:rsid w:val="007528B4"/>
    <w:rsid w:val="007540BA"/>
    <w:rsid w:val="00762EB6"/>
    <w:rsid w:val="0079579C"/>
    <w:rsid w:val="007F7CA8"/>
    <w:rsid w:val="00801340"/>
    <w:rsid w:val="00821BC3"/>
    <w:rsid w:val="0086064E"/>
    <w:rsid w:val="00866F93"/>
    <w:rsid w:val="008A1495"/>
    <w:rsid w:val="008D1B06"/>
    <w:rsid w:val="008D61F2"/>
    <w:rsid w:val="009238D7"/>
    <w:rsid w:val="00980720"/>
    <w:rsid w:val="00983FA0"/>
    <w:rsid w:val="009B3997"/>
    <w:rsid w:val="009D34AD"/>
    <w:rsid w:val="009F54BF"/>
    <w:rsid w:val="00A039C3"/>
    <w:rsid w:val="00A40129"/>
    <w:rsid w:val="00A561F2"/>
    <w:rsid w:val="00A671CE"/>
    <w:rsid w:val="00A8034A"/>
    <w:rsid w:val="00A879DD"/>
    <w:rsid w:val="00AA1B16"/>
    <w:rsid w:val="00AB2790"/>
    <w:rsid w:val="00AF3F16"/>
    <w:rsid w:val="00B059F0"/>
    <w:rsid w:val="00B456AE"/>
    <w:rsid w:val="00B62D5B"/>
    <w:rsid w:val="00B7525E"/>
    <w:rsid w:val="00B76E26"/>
    <w:rsid w:val="00BA16A3"/>
    <w:rsid w:val="00BB2391"/>
    <w:rsid w:val="00BE601E"/>
    <w:rsid w:val="00C11F3A"/>
    <w:rsid w:val="00C21D80"/>
    <w:rsid w:val="00C3425D"/>
    <w:rsid w:val="00C444CB"/>
    <w:rsid w:val="00C6724E"/>
    <w:rsid w:val="00CC3E4A"/>
    <w:rsid w:val="00CE5A0F"/>
    <w:rsid w:val="00CE6C3C"/>
    <w:rsid w:val="00DB1F7D"/>
    <w:rsid w:val="00E07080"/>
    <w:rsid w:val="00E17BCE"/>
    <w:rsid w:val="00E2017A"/>
    <w:rsid w:val="00E27490"/>
    <w:rsid w:val="00E44AAF"/>
    <w:rsid w:val="00E669C9"/>
    <w:rsid w:val="00E94E87"/>
    <w:rsid w:val="00E966C3"/>
    <w:rsid w:val="00EE3C89"/>
    <w:rsid w:val="00F26B40"/>
    <w:rsid w:val="00F33A97"/>
    <w:rsid w:val="00F44763"/>
    <w:rsid w:val="00F5000A"/>
    <w:rsid w:val="00F75944"/>
    <w:rsid w:val="00FC206A"/>
    <w:rsid w:val="00FD74EA"/>
    <w:rsid w:val="00FE3C4D"/>
    <w:rsid w:val="00FE64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AF9B2B98-03B3-4002-94C5-5BE73C03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0129"/>
    <w:pPr>
      <w:spacing w:after="160" w:line="259" w:lineRule="auto"/>
    </w:pPr>
    <w:rPr>
      <w:sz w:val="22"/>
      <w:szCs w:val="22"/>
      <w:lang w:eastAsia="en-US"/>
    </w:rPr>
  </w:style>
  <w:style w:type="paragraph" w:styleId="Cmsor1">
    <w:name w:val="heading 1"/>
    <w:basedOn w:val="Norml"/>
    <w:next w:val="Norml"/>
    <w:link w:val="Cmsor1Char"/>
    <w:uiPriority w:val="9"/>
    <w:qFormat/>
    <w:rsid w:val="00A40129"/>
    <w:pPr>
      <w:keepNext/>
      <w:spacing w:before="240" w:after="60"/>
      <w:outlineLvl w:val="0"/>
    </w:pPr>
    <w:rPr>
      <w:rFonts w:ascii="Times New Roman" w:eastAsia="Times New Roman" w:hAnsi="Times New Roman"/>
      <w:b/>
      <w:bCs/>
      <w:kern w:val="32"/>
      <w:sz w:val="52"/>
      <w:szCs w:val="32"/>
    </w:rPr>
  </w:style>
  <w:style w:type="paragraph" w:styleId="Cmsor2">
    <w:name w:val="heading 2"/>
    <w:basedOn w:val="Norml"/>
    <w:next w:val="Norml"/>
    <w:link w:val="Cmsor2Char"/>
    <w:uiPriority w:val="9"/>
    <w:unhideWhenUsed/>
    <w:qFormat/>
    <w:rsid w:val="00A40129"/>
    <w:pPr>
      <w:keepNext/>
      <w:spacing w:before="240" w:after="60"/>
      <w:outlineLvl w:val="1"/>
    </w:pPr>
    <w:rPr>
      <w:rFonts w:ascii="Times New Roman" w:eastAsia="Times New Roman" w:hAnsi="Times New Roman"/>
      <w:b/>
      <w:bCs/>
      <w:iCs/>
      <w:sz w:val="24"/>
      <w:szCs w:val="28"/>
    </w:rPr>
  </w:style>
  <w:style w:type="paragraph" w:styleId="Cmsor3">
    <w:name w:val="heading 3"/>
    <w:basedOn w:val="Norml"/>
    <w:next w:val="Norml"/>
    <w:link w:val="Cmsor3Char"/>
    <w:uiPriority w:val="9"/>
    <w:unhideWhenUsed/>
    <w:qFormat/>
    <w:rsid w:val="00A40129"/>
    <w:pPr>
      <w:keepNext/>
      <w:spacing w:before="240" w:after="60"/>
      <w:ind w:left="708"/>
      <w:outlineLvl w:val="2"/>
    </w:pPr>
    <w:rPr>
      <w:rFonts w:ascii="Times New Roman" w:eastAsia="Times New Roman" w:hAnsi="Times New Roman"/>
      <w:b/>
      <w:bCs/>
      <w:sz w:val="24"/>
      <w:szCs w:val="26"/>
    </w:rPr>
  </w:style>
  <w:style w:type="paragraph" w:styleId="Cmsor4">
    <w:name w:val="heading 4"/>
    <w:basedOn w:val="Norml"/>
    <w:next w:val="Norml"/>
    <w:link w:val="Cmsor4Char"/>
    <w:uiPriority w:val="9"/>
    <w:unhideWhenUsed/>
    <w:qFormat/>
    <w:rsid w:val="00060DEC"/>
    <w:pPr>
      <w:keepNext/>
      <w:spacing w:before="240" w:after="60"/>
      <w:outlineLvl w:val="3"/>
    </w:pPr>
    <w:rPr>
      <w:rFonts w:eastAsia="Times New Roman"/>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0742E"/>
    <w:pPr>
      <w:spacing w:after="0" w:line="240" w:lineRule="auto"/>
      <w:ind w:left="720"/>
      <w:contextualSpacing/>
      <w:jc w:val="both"/>
    </w:pPr>
    <w:rPr>
      <w:rFonts w:ascii="Times New Roman" w:hAnsi="Times New Roman" w:cs="Calibri"/>
      <w:sz w:val="24"/>
    </w:rPr>
  </w:style>
  <w:style w:type="character" w:styleId="Hiperhivatkozs">
    <w:name w:val="Hyperlink"/>
    <w:uiPriority w:val="99"/>
    <w:rsid w:val="0040742E"/>
    <w:rPr>
      <w:rFonts w:cs="Times New Roman"/>
      <w:color w:val="0000FF"/>
      <w:u w:val="single"/>
    </w:rPr>
  </w:style>
  <w:style w:type="paragraph" w:styleId="Buborkszveg">
    <w:name w:val="Balloon Text"/>
    <w:basedOn w:val="Norml"/>
    <w:link w:val="BuborkszvegChar"/>
    <w:uiPriority w:val="99"/>
    <w:semiHidden/>
    <w:unhideWhenUsed/>
    <w:rsid w:val="00FE64EE"/>
    <w:pPr>
      <w:spacing w:after="0" w:line="240" w:lineRule="auto"/>
    </w:pPr>
    <w:rPr>
      <w:rFonts w:ascii="Segoe UI" w:hAnsi="Segoe UI" w:cs="Segoe UI"/>
      <w:sz w:val="18"/>
      <w:szCs w:val="18"/>
    </w:rPr>
  </w:style>
  <w:style w:type="character" w:customStyle="1" w:styleId="BuborkszvegChar">
    <w:name w:val="Buborékszöveg Char"/>
    <w:link w:val="Buborkszveg"/>
    <w:uiPriority w:val="99"/>
    <w:semiHidden/>
    <w:rsid w:val="00FE64EE"/>
    <w:rPr>
      <w:rFonts w:ascii="Segoe UI" w:hAnsi="Segoe UI" w:cs="Segoe UI"/>
      <w:sz w:val="18"/>
      <w:szCs w:val="18"/>
    </w:rPr>
  </w:style>
  <w:style w:type="paragraph" w:styleId="lfej">
    <w:name w:val="header"/>
    <w:basedOn w:val="Norml"/>
    <w:link w:val="lfejChar"/>
    <w:uiPriority w:val="99"/>
    <w:unhideWhenUsed/>
    <w:rsid w:val="003F629D"/>
    <w:pPr>
      <w:tabs>
        <w:tab w:val="center" w:pos="4536"/>
        <w:tab w:val="right" w:pos="9072"/>
      </w:tabs>
      <w:spacing w:after="0" w:line="240" w:lineRule="auto"/>
    </w:pPr>
  </w:style>
  <w:style w:type="character" w:customStyle="1" w:styleId="lfejChar">
    <w:name w:val="Élőfej Char"/>
    <w:basedOn w:val="Bekezdsalapbettpusa"/>
    <w:link w:val="lfej"/>
    <w:uiPriority w:val="99"/>
    <w:rsid w:val="003F629D"/>
  </w:style>
  <w:style w:type="paragraph" w:styleId="llb">
    <w:name w:val="footer"/>
    <w:basedOn w:val="Norml"/>
    <w:link w:val="llbChar"/>
    <w:uiPriority w:val="99"/>
    <w:unhideWhenUsed/>
    <w:rsid w:val="003F629D"/>
    <w:pPr>
      <w:tabs>
        <w:tab w:val="center" w:pos="4536"/>
        <w:tab w:val="right" w:pos="9072"/>
      </w:tabs>
      <w:spacing w:after="0" w:line="240" w:lineRule="auto"/>
    </w:pPr>
  </w:style>
  <w:style w:type="character" w:customStyle="1" w:styleId="llbChar">
    <w:name w:val="Élőláb Char"/>
    <w:basedOn w:val="Bekezdsalapbettpusa"/>
    <w:link w:val="llb"/>
    <w:uiPriority w:val="99"/>
    <w:rsid w:val="003F629D"/>
  </w:style>
  <w:style w:type="paragraph" w:styleId="Nincstrkz">
    <w:name w:val="No Spacing"/>
    <w:link w:val="NincstrkzChar"/>
    <w:qFormat/>
    <w:rsid w:val="000E2431"/>
    <w:rPr>
      <w:rFonts w:eastAsia="Times New Roman"/>
      <w:sz w:val="22"/>
      <w:szCs w:val="22"/>
    </w:rPr>
  </w:style>
  <w:style w:type="character" w:customStyle="1" w:styleId="NincstrkzChar">
    <w:name w:val="Nincs térköz Char"/>
    <w:link w:val="Nincstrkz"/>
    <w:rsid w:val="000E2431"/>
    <w:rPr>
      <w:rFonts w:ascii="Calibri" w:eastAsia="Times New Roman" w:hAnsi="Calibri" w:cs="Times New Roman"/>
      <w:lang w:eastAsia="hu-HU"/>
    </w:rPr>
  </w:style>
  <w:style w:type="table" w:styleId="Rcsostblzat">
    <w:name w:val="Table Grid"/>
    <w:basedOn w:val="Normltblzat"/>
    <w:uiPriority w:val="39"/>
    <w:rsid w:val="00260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uiPriority w:val="99"/>
    <w:semiHidden/>
    <w:unhideWhenUsed/>
    <w:rsid w:val="00371C69"/>
    <w:rPr>
      <w:color w:val="954F72"/>
      <w:u w:val="single"/>
    </w:rPr>
  </w:style>
  <w:style w:type="character" w:customStyle="1" w:styleId="Cmsor1Char">
    <w:name w:val="Címsor 1 Char"/>
    <w:link w:val="Cmsor1"/>
    <w:uiPriority w:val="9"/>
    <w:rsid w:val="00A40129"/>
    <w:rPr>
      <w:rFonts w:ascii="Times New Roman" w:eastAsia="Times New Roman" w:hAnsi="Times New Roman" w:cs="Times New Roman"/>
      <w:b/>
      <w:bCs/>
      <w:kern w:val="32"/>
      <w:sz w:val="52"/>
      <w:szCs w:val="32"/>
      <w:lang w:eastAsia="en-US"/>
    </w:rPr>
  </w:style>
  <w:style w:type="character" w:customStyle="1" w:styleId="Cmsor2Char">
    <w:name w:val="Címsor 2 Char"/>
    <w:link w:val="Cmsor2"/>
    <w:uiPriority w:val="9"/>
    <w:rsid w:val="00A40129"/>
    <w:rPr>
      <w:rFonts w:ascii="Times New Roman" w:eastAsia="Times New Roman" w:hAnsi="Times New Roman" w:cs="Times New Roman"/>
      <w:b/>
      <w:bCs/>
      <w:iCs/>
      <w:sz w:val="24"/>
      <w:szCs w:val="28"/>
      <w:lang w:eastAsia="en-US"/>
    </w:rPr>
  </w:style>
  <w:style w:type="character" w:customStyle="1" w:styleId="Cmsor3Char">
    <w:name w:val="Címsor 3 Char"/>
    <w:link w:val="Cmsor3"/>
    <w:uiPriority w:val="9"/>
    <w:rsid w:val="00A40129"/>
    <w:rPr>
      <w:rFonts w:ascii="Times New Roman" w:eastAsia="Times New Roman" w:hAnsi="Times New Roman" w:cs="Times New Roman"/>
      <w:b/>
      <w:bCs/>
      <w:sz w:val="24"/>
      <w:szCs w:val="26"/>
      <w:lang w:eastAsia="en-US"/>
    </w:rPr>
  </w:style>
  <w:style w:type="character" w:customStyle="1" w:styleId="Cmsor4Char">
    <w:name w:val="Címsor 4 Char"/>
    <w:link w:val="Cmsor4"/>
    <w:uiPriority w:val="9"/>
    <w:rsid w:val="00060DEC"/>
    <w:rPr>
      <w:rFonts w:ascii="Calibri" w:eastAsia="Times New Roman" w:hAnsi="Calibri"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29493">
      <w:bodyDiv w:val="1"/>
      <w:marLeft w:val="0"/>
      <w:marRight w:val="0"/>
      <w:marTop w:val="0"/>
      <w:marBottom w:val="0"/>
      <w:divBdr>
        <w:top w:val="none" w:sz="0" w:space="0" w:color="auto"/>
        <w:left w:val="none" w:sz="0" w:space="0" w:color="auto"/>
        <w:bottom w:val="none" w:sz="0" w:space="0" w:color="auto"/>
        <w:right w:val="none" w:sz="0" w:space="0" w:color="auto"/>
      </w:divBdr>
    </w:div>
    <w:div w:id="143359142">
      <w:bodyDiv w:val="1"/>
      <w:marLeft w:val="0"/>
      <w:marRight w:val="0"/>
      <w:marTop w:val="0"/>
      <w:marBottom w:val="0"/>
      <w:divBdr>
        <w:top w:val="none" w:sz="0" w:space="0" w:color="auto"/>
        <w:left w:val="none" w:sz="0" w:space="0" w:color="auto"/>
        <w:bottom w:val="none" w:sz="0" w:space="0" w:color="auto"/>
        <w:right w:val="none" w:sz="0" w:space="0" w:color="auto"/>
      </w:divBdr>
    </w:div>
    <w:div w:id="198812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ece.org/trans/danger/multi/multi.html"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465D7-B0B3-4876-9012-1602EAD9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2519</Words>
  <Characters>17384</Characters>
  <Application>Microsoft Office Word</Application>
  <DocSecurity>0</DocSecurity>
  <Lines>144</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19864</CharactersWithSpaces>
  <SharedDoc>false</SharedDoc>
  <HLinks>
    <vt:vector size="6" baseType="variant">
      <vt:variant>
        <vt:i4>6881388</vt:i4>
      </vt:variant>
      <vt:variant>
        <vt:i4>0</vt:i4>
      </vt:variant>
      <vt:variant>
        <vt:i4>0</vt:i4>
      </vt:variant>
      <vt:variant>
        <vt:i4>5</vt:i4>
      </vt:variant>
      <vt:variant>
        <vt:lpwstr>http://www.unece.org/trans/danger/multi/multi.html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Pintér Attila VSZFO</dc:creator>
  <cp:keywords/>
  <dc:description/>
  <cp:lastModifiedBy>Jakab Gábor József</cp:lastModifiedBy>
  <cp:revision>5</cp:revision>
  <cp:lastPrinted>2023-10-24T12:57:00Z</cp:lastPrinted>
  <dcterms:created xsi:type="dcterms:W3CDTF">2024-11-14T10:33:00Z</dcterms:created>
  <dcterms:modified xsi:type="dcterms:W3CDTF">2025-02-04T14:05:00Z</dcterms:modified>
</cp:coreProperties>
</file>